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B06E" w14:textId="77777777" w:rsidR="00BC0846" w:rsidRDefault="00BC0846" w:rsidP="00BC0846">
      <w:pPr>
        <w:ind w:left="10490"/>
        <w:jc w:val="right"/>
      </w:pPr>
      <w:r w:rsidRPr="00BC0846">
        <w:t xml:space="preserve">Приложение № 1 </w:t>
      </w:r>
    </w:p>
    <w:p w14:paraId="69BDAEB5" w14:textId="69D7D2E1" w:rsidR="00BC0846" w:rsidRPr="00BC0846" w:rsidRDefault="00BC0846" w:rsidP="00BC0846">
      <w:pPr>
        <w:ind w:left="10490"/>
        <w:jc w:val="right"/>
      </w:pPr>
      <w:r w:rsidRPr="00BC0846">
        <w:t>к Программе профилактики рисков причинения вреда (ущерба) охраняемым законом ценностям по федерального государственного лицензионного контроля (надзора) за деятельностью по заготовке, хранению, переработке и реализации лома черных металлов, цветных металлов на 202</w:t>
      </w:r>
      <w:r w:rsidR="00774C54">
        <w:t>2</w:t>
      </w:r>
      <w:r w:rsidRPr="00BC0846">
        <w:t xml:space="preserve"> год</w:t>
      </w:r>
    </w:p>
    <w:p w14:paraId="2CE44134" w14:textId="77777777" w:rsidR="00BC0846" w:rsidRPr="00BC0846" w:rsidRDefault="00BC0846" w:rsidP="00BC0846">
      <w:pPr>
        <w:jc w:val="center"/>
      </w:pPr>
      <w:r w:rsidRPr="00BC0846">
        <w:rPr>
          <w:b/>
          <w:bCs/>
        </w:rPr>
        <w:t>План-график</w:t>
      </w:r>
    </w:p>
    <w:p w14:paraId="4BA62D80" w14:textId="3D02B1CE" w:rsidR="00BC0846" w:rsidRPr="00BC0846" w:rsidRDefault="00BC0846" w:rsidP="00BC0846">
      <w:pPr>
        <w:jc w:val="center"/>
      </w:pPr>
      <w:r w:rsidRPr="00BC0846">
        <w:rPr>
          <w:b/>
          <w:bCs/>
        </w:rPr>
        <w:t>мероприятий по профилактике рисков причинения вреда (ущерба) охраняемым законом ценностям по федеральному государственному лицензионному контролю (надзору) за деятельностью по заготовке, хранению, переработке и реализации лома черных металлов, цветных металлов на 202</w:t>
      </w:r>
      <w:r w:rsidR="00774C54">
        <w:rPr>
          <w:b/>
          <w:bCs/>
        </w:rPr>
        <w:t>2</w:t>
      </w:r>
      <w:r w:rsidRPr="00BC0846">
        <w:rPr>
          <w:b/>
          <w:bCs/>
        </w:rPr>
        <w:t xml:space="preserve"> год</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6"/>
        <w:gridCol w:w="3413"/>
        <w:gridCol w:w="8850"/>
      </w:tblGrid>
      <w:tr w:rsidR="00BC0846" w:rsidRPr="00BC0846" w14:paraId="02D3E583" w14:textId="77777777" w:rsidTr="0001279F">
        <w:tblPrEx>
          <w:tblCellMar>
            <w:top w:w="0" w:type="dxa"/>
            <w:left w:w="0" w:type="dxa"/>
            <w:bottom w:w="0" w:type="dxa"/>
            <w:right w:w="0" w:type="dxa"/>
          </w:tblCellMar>
        </w:tblPrEx>
        <w:trPr>
          <w:trHeight w:hRule="exact" w:val="1061"/>
        </w:trPr>
        <w:tc>
          <w:tcPr>
            <w:tcW w:w="2616" w:type="dxa"/>
            <w:shd w:val="clear" w:color="auto" w:fill="FFFFFF"/>
            <w:vAlign w:val="center"/>
          </w:tcPr>
          <w:p w14:paraId="5D268938" w14:textId="77777777" w:rsidR="00BC0846" w:rsidRPr="00BC0846" w:rsidRDefault="00BC0846" w:rsidP="00BC0846">
            <w:pPr>
              <w:spacing w:after="0" w:line="240" w:lineRule="auto"/>
              <w:jc w:val="center"/>
              <w:rPr>
                <w:b/>
                <w:bCs/>
              </w:rPr>
            </w:pPr>
            <w:r w:rsidRPr="00BC0846">
              <w:rPr>
                <w:b/>
                <w:bCs/>
              </w:rPr>
              <w:t>Виды</w:t>
            </w:r>
          </w:p>
          <w:p w14:paraId="2A6B0582" w14:textId="77777777" w:rsidR="00BC0846" w:rsidRPr="00BC0846" w:rsidRDefault="00BC0846" w:rsidP="00BC0846">
            <w:pPr>
              <w:spacing w:after="0" w:line="240" w:lineRule="auto"/>
              <w:jc w:val="center"/>
              <w:rPr>
                <w:b/>
                <w:bCs/>
              </w:rPr>
            </w:pPr>
            <w:r w:rsidRPr="00BC0846">
              <w:rPr>
                <w:b/>
                <w:bCs/>
              </w:rPr>
              <w:t>профилактических</w:t>
            </w:r>
          </w:p>
          <w:p w14:paraId="66BF0FBC" w14:textId="77777777" w:rsidR="00BC0846" w:rsidRPr="00BC0846" w:rsidRDefault="00BC0846" w:rsidP="00BC0846">
            <w:pPr>
              <w:spacing w:after="0" w:line="240" w:lineRule="auto"/>
              <w:jc w:val="center"/>
              <w:rPr>
                <w:b/>
                <w:bCs/>
              </w:rPr>
            </w:pPr>
            <w:r w:rsidRPr="00BC0846">
              <w:rPr>
                <w:b/>
                <w:bCs/>
              </w:rPr>
              <w:t>мероприятий</w:t>
            </w:r>
          </w:p>
        </w:tc>
        <w:tc>
          <w:tcPr>
            <w:tcW w:w="3413" w:type="dxa"/>
            <w:shd w:val="clear" w:color="auto" w:fill="FFFFFF"/>
          </w:tcPr>
          <w:p w14:paraId="3A39A066" w14:textId="77777777" w:rsidR="00BC0846" w:rsidRDefault="00BC0846" w:rsidP="00BC0846">
            <w:pPr>
              <w:spacing w:after="0" w:line="240" w:lineRule="auto"/>
              <w:jc w:val="center"/>
              <w:rPr>
                <w:b/>
                <w:bCs/>
              </w:rPr>
            </w:pPr>
          </w:p>
          <w:p w14:paraId="4ACB9263" w14:textId="49115D6B" w:rsidR="00BC0846" w:rsidRPr="00BC0846" w:rsidRDefault="00BC0846" w:rsidP="00BC0846">
            <w:pPr>
              <w:spacing w:after="0" w:line="240" w:lineRule="auto"/>
              <w:jc w:val="center"/>
              <w:rPr>
                <w:b/>
                <w:bCs/>
              </w:rPr>
            </w:pPr>
            <w:r w:rsidRPr="00BC0846">
              <w:rPr>
                <w:b/>
                <w:bCs/>
              </w:rPr>
              <w:t>Ответственные исполнители</w:t>
            </w:r>
          </w:p>
        </w:tc>
        <w:tc>
          <w:tcPr>
            <w:tcW w:w="8850" w:type="dxa"/>
            <w:shd w:val="clear" w:color="auto" w:fill="FFFFFF"/>
          </w:tcPr>
          <w:p w14:paraId="40234748" w14:textId="77777777" w:rsidR="00BC0846" w:rsidRDefault="00BC0846" w:rsidP="00BC0846">
            <w:pPr>
              <w:spacing w:after="0" w:line="240" w:lineRule="auto"/>
              <w:jc w:val="center"/>
              <w:rPr>
                <w:b/>
                <w:bCs/>
              </w:rPr>
            </w:pPr>
          </w:p>
          <w:p w14:paraId="7EBBB9CD" w14:textId="4FCB2A51" w:rsidR="00BC0846" w:rsidRPr="00BC0846" w:rsidRDefault="00BC0846" w:rsidP="00BC0846">
            <w:pPr>
              <w:spacing w:after="0" w:line="240" w:lineRule="auto"/>
              <w:jc w:val="center"/>
              <w:rPr>
                <w:b/>
                <w:bCs/>
              </w:rPr>
            </w:pPr>
            <w:r w:rsidRPr="00BC0846">
              <w:rPr>
                <w:b/>
                <w:bCs/>
              </w:rPr>
              <w:t>Формы, способы и периодичность проведения профилактических мероприятий</w:t>
            </w:r>
          </w:p>
        </w:tc>
      </w:tr>
      <w:tr w:rsidR="00BC0846" w:rsidRPr="00BC0846" w14:paraId="26824497" w14:textId="77777777" w:rsidTr="0001279F">
        <w:tblPrEx>
          <w:tblCellMar>
            <w:top w:w="0" w:type="dxa"/>
            <w:left w:w="0" w:type="dxa"/>
            <w:bottom w:w="0" w:type="dxa"/>
            <w:right w:w="0" w:type="dxa"/>
          </w:tblCellMar>
        </w:tblPrEx>
        <w:trPr>
          <w:trHeight w:hRule="exact" w:val="3528"/>
        </w:trPr>
        <w:tc>
          <w:tcPr>
            <w:tcW w:w="2616" w:type="dxa"/>
            <w:shd w:val="clear" w:color="auto" w:fill="FFFFFF"/>
          </w:tcPr>
          <w:p w14:paraId="45D08C5E" w14:textId="77777777" w:rsidR="00BC0846" w:rsidRPr="00BC0846" w:rsidRDefault="00BC0846" w:rsidP="00D00FBA">
            <w:pPr>
              <w:spacing w:after="0" w:line="240" w:lineRule="auto"/>
            </w:pPr>
            <w:r w:rsidRPr="00BC0846">
              <w:t>Информирование</w:t>
            </w:r>
          </w:p>
        </w:tc>
        <w:tc>
          <w:tcPr>
            <w:tcW w:w="3413" w:type="dxa"/>
            <w:shd w:val="clear" w:color="auto" w:fill="FFFFFF"/>
          </w:tcPr>
          <w:p w14:paraId="6CA5CCA9" w14:textId="37535454" w:rsidR="00BC0846" w:rsidRPr="00BC0846" w:rsidRDefault="00BC0846" w:rsidP="00D00FBA">
            <w:pPr>
              <w:spacing w:after="0" w:line="240" w:lineRule="auto"/>
            </w:pPr>
            <w:r w:rsidRPr="00BC0846">
              <w:t xml:space="preserve">Отдел лицензирования </w:t>
            </w:r>
          </w:p>
        </w:tc>
        <w:tc>
          <w:tcPr>
            <w:tcW w:w="8850" w:type="dxa"/>
            <w:shd w:val="clear" w:color="auto" w:fill="FFFFFF"/>
            <w:vAlign w:val="center"/>
          </w:tcPr>
          <w:p w14:paraId="2FA9596B" w14:textId="77777777" w:rsidR="00BC0846" w:rsidRPr="00BC0846" w:rsidRDefault="00BC0846" w:rsidP="00D00FBA">
            <w:pPr>
              <w:spacing w:after="0" w:line="240" w:lineRule="auto"/>
            </w:pPr>
            <w:r w:rsidRPr="00BC0846">
              <w:t>Информирование по вопросам лицензионного контроля осуществляется в порядке, установленном статьей 46 Федерального закона «О государственном контроле (надзоре) и муниципальном контроле в Российской Федерации».</w:t>
            </w:r>
          </w:p>
          <w:p w14:paraId="0ED8389D" w14:textId="77777777" w:rsidR="00BC0846" w:rsidRPr="00BC0846" w:rsidRDefault="00BC0846" w:rsidP="00D00FBA">
            <w:pPr>
              <w:spacing w:after="0" w:line="240" w:lineRule="auto"/>
            </w:pPr>
            <w:r w:rsidRPr="00BC0846">
              <w:t>Информирование осуществляется посредством размещения соответствующих сведений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800913D" w14:textId="77777777" w:rsidR="00BC0846" w:rsidRPr="00BC0846" w:rsidRDefault="00BC0846" w:rsidP="00D00FBA">
            <w:pPr>
              <w:spacing w:after="0" w:line="240" w:lineRule="auto"/>
            </w:pPr>
            <w:r w:rsidRPr="00BC0846">
              <w:t>Министерство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«О государственном контроле (надзоре) и муниципальном контроле в Российской Федерации».</w:t>
            </w:r>
          </w:p>
          <w:p w14:paraId="68D09F75" w14:textId="77777777" w:rsidR="00BC0846" w:rsidRPr="00BC0846" w:rsidRDefault="00BC0846" w:rsidP="00D00FBA">
            <w:pPr>
              <w:spacing w:after="0" w:line="240" w:lineRule="auto"/>
            </w:pPr>
            <w:r w:rsidRPr="00BC0846">
              <w:t>Информирование осуществляется по мере необходимости.</w:t>
            </w:r>
          </w:p>
        </w:tc>
      </w:tr>
      <w:tr w:rsidR="00BC0846" w:rsidRPr="00BC0846" w14:paraId="591D5846" w14:textId="77777777" w:rsidTr="0001279F">
        <w:tblPrEx>
          <w:tblCellMar>
            <w:top w:w="0" w:type="dxa"/>
            <w:left w:w="0" w:type="dxa"/>
            <w:bottom w:w="0" w:type="dxa"/>
            <w:right w:w="0" w:type="dxa"/>
          </w:tblCellMar>
        </w:tblPrEx>
        <w:trPr>
          <w:trHeight w:hRule="exact" w:val="1334"/>
        </w:trPr>
        <w:tc>
          <w:tcPr>
            <w:tcW w:w="2616" w:type="dxa"/>
            <w:shd w:val="clear" w:color="auto" w:fill="FFFFFF"/>
          </w:tcPr>
          <w:p w14:paraId="5CF0535F" w14:textId="77777777" w:rsidR="00BC0846" w:rsidRPr="00BC0846" w:rsidRDefault="00BC0846" w:rsidP="00D00FBA">
            <w:pPr>
              <w:spacing w:after="0" w:line="240" w:lineRule="auto"/>
            </w:pPr>
            <w:r w:rsidRPr="00BC0846">
              <w:t>Обобщение</w:t>
            </w:r>
          </w:p>
          <w:p w14:paraId="0ABB5B07" w14:textId="77777777" w:rsidR="00BC0846" w:rsidRPr="00BC0846" w:rsidRDefault="00BC0846" w:rsidP="00D00FBA">
            <w:pPr>
              <w:spacing w:after="0" w:line="240" w:lineRule="auto"/>
            </w:pPr>
            <w:r w:rsidRPr="00BC0846">
              <w:t>правоприменительной</w:t>
            </w:r>
          </w:p>
          <w:p w14:paraId="509FC427" w14:textId="77777777" w:rsidR="00BC0846" w:rsidRPr="00BC0846" w:rsidRDefault="00BC0846" w:rsidP="00D00FBA">
            <w:pPr>
              <w:spacing w:after="0" w:line="240" w:lineRule="auto"/>
            </w:pPr>
            <w:r w:rsidRPr="00BC0846">
              <w:t>практики</w:t>
            </w:r>
          </w:p>
        </w:tc>
        <w:tc>
          <w:tcPr>
            <w:tcW w:w="3413" w:type="dxa"/>
            <w:shd w:val="clear" w:color="auto" w:fill="FFFFFF"/>
            <w:vAlign w:val="center"/>
          </w:tcPr>
          <w:p w14:paraId="1C34F73E" w14:textId="12D6F841" w:rsidR="00BC0846" w:rsidRPr="00BC0846" w:rsidRDefault="00BC0846" w:rsidP="00D00FBA">
            <w:pPr>
              <w:spacing w:after="0" w:line="240" w:lineRule="auto"/>
            </w:pPr>
            <w:r w:rsidRPr="00BC0846">
              <w:t xml:space="preserve">Отдел лицензирования </w:t>
            </w:r>
          </w:p>
        </w:tc>
        <w:tc>
          <w:tcPr>
            <w:tcW w:w="8850" w:type="dxa"/>
            <w:shd w:val="clear" w:color="auto" w:fill="FFFFFF"/>
            <w:vAlign w:val="center"/>
          </w:tcPr>
          <w:p w14:paraId="36FDCEA8" w14:textId="77777777" w:rsidR="00BC0846" w:rsidRPr="00BC0846" w:rsidRDefault="00BC0846" w:rsidP="00D00FBA">
            <w:pPr>
              <w:spacing w:after="0" w:line="240" w:lineRule="auto"/>
            </w:pPr>
            <w:r w:rsidRPr="00BC0846">
              <w:t>Обобщение правоприменительной практики проводится в порядке, установленном статьей 47 Федерального закона «О государственном контроле (надзоре) и муниципальном контроле в Российской Федерации».</w:t>
            </w:r>
          </w:p>
          <w:p w14:paraId="549C48DD" w14:textId="5631D4A2" w:rsidR="00BC0846" w:rsidRPr="00BC0846" w:rsidRDefault="00BC0846" w:rsidP="00D00FBA">
            <w:pPr>
              <w:spacing w:after="0" w:line="240" w:lineRule="auto"/>
            </w:pPr>
            <w:r w:rsidRPr="00BC0846">
              <w:t>Обобщение правоприменительной практики проводится для решения</w:t>
            </w:r>
            <w:r w:rsidRPr="00BC0846">
              <w:t xml:space="preserve"> </w:t>
            </w:r>
            <w:r w:rsidRPr="00BC0846">
              <w:t>следующих задач:</w:t>
            </w:r>
          </w:p>
          <w:p w14:paraId="41EDC14C" w14:textId="0AA42526" w:rsidR="00BC0846" w:rsidRPr="00BC0846" w:rsidRDefault="00BC0846" w:rsidP="00D00FBA">
            <w:pPr>
              <w:spacing w:after="0" w:line="240" w:lineRule="auto"/>
            </w:pPr>
          </w:p>
        </w:tc>
      </w:tr>
    </w:tbl>
    <w:p w14:paraId="483D97BA" w14:textId="5BFE9201" w:rsidR="00583933" w:rsidRDefault="00583933" w:rsidP="00D00FBA">
      <w:pPr>
        <w:spacing w:after="0" w:line="240" w:lineRule="auto"/>
      </w:pPr>
    </w:p>
    <w:tbl>
      <w:tblPr>
        <w:tblW w:w="0" w:type="auto"/>
        <w:tblInd w:w="-5" w:type="dxa"/>
        <w:tblLayout w:type="fixed"/>
        <w:tblCellMar>
          <w:left w:w="0" w:type="dxa"/>
          <w:right w:w="0" w:type="dxa"/>
        </w:tblCellMar>
        <w:tblLook w:val="0000" w:firstRow="0" w:lastRow="0" w:firstColumn="0" w:lastColumn="0" w:noHBand="0" w:noVBand="0"/>
      </w:tblPr>
      <w:tblGrid>
        <w:gridCol w:w="2621"/>
        <w:gridCol w:w="3403"/>
        <w:gridCol w:w="8842"/>
      </w:tblGrid>
      <w:tr w:rsidR="00BC0846" w:rsidRPr="00BC0846" w14:paraId="3AD555A3" w14:textId="77777777" w:rsidTr="00BC0846">
        <w:tblPrEx>
          <w:tblCellMar>
            <w:top w:w="0" w:type="dxa"/>
            <w:left w:w="0" w:type="dxa"/>
            <w:bottom w:w="0" w:type="dxa"/>
            <w:right w:w="0" w:type="dxa"/>
          </w:tblCellMar>
        </w:tblPrEx>
        <w:trPr>
          <w:trHeight w:hRule="exact" w:val="5830"/>
        </w:trPr>
        <w:tc>
          <w:tcPr>
            <w:tcW w:w="2621" w:type="dxa"/>
            <w:tcBorders>
              <w:top w:val="single" w:sz="4" w:space="0" w:color="auto"/>
              <w:left w:val="single" w:sz="4" w:space="0" w:color="auto"/>
              <w:bottom w:val="nil"/>
              <w:right w:val="nil"/>
            </w:tcBorders>
            <w:shd w:val="clear" w:color="auto" w:fill="FFFFFF"/>
          </w:tcPr>
          <w:p w14:paraId="45B38D89" w14:textId="77777777" w:rsidR="00BC0846" w:rsidRPr="00BC0846" w:rsidRDefault="00BC0846" w:rsidP="00D00FBA">
            <w:pPr>
              <w:spacing w:after="0" w:line="240" w:lineRule="auto"/>
            </w:pPr>
          </w:p>
        </w:tc>
        <w:tc>
          <w:tcPr>
            <w:tcW w:w="3403" w:type="dxa"/>
            <w:tcBorders>
              <w:top w:val="single" w:sz="4" w:space="0" w:color="auto"/>
              <w:left w:val="single" w:sz="4" w:space="0" w:color="auto"/>
              <w:bottom w:val="nil"/>
              <w:right w:val="nil"/>
            </w:tcBorders>
            <w:shd w:val="clear" w:color="auto" w:fill="FFFFFF"/>
          </w:tcPr>
          <w:p w14:paraId="1449A15B" w14:textId="77777777" w:rsidR="00BC0846" w:rsidRPr="00BC0846" w:rsidRDefault="00BC0846" w:rsidP="00D00FBA">
            <w:pPr>
              <w:spacing w:after="0" w:line="240" w:lineRule="auto"/>
            </w:pPr>
          </w:p>
        </w:tc>
        <w:tc>
          <w:tcPr>
            <w:tcW w:w="8842" w:type="dxa"/>
            <w:tcBorders>
              <w:top w:val="single" w:sz="4" w:space="0" w:color="auto"/>
              <w:left w:val="single" w:sz="4" w:space="0" w:color="auto"/>
              <w:bottom w:val="nil"/>
              <w:right w:val="single" w:sz="4" w:space="0" w:color="auto"/>
            </w:tcBorders>
            <w:shd w:val="clear" w:color="auto" w:fill="FFFFFF"/>
            <w:vAlign w:val="center"/>
          </w:tcPr>
          <w:p w14:paraId="45E95785" w14:textId="77777777" w:rsidR="00BC0846" w:rsidRPr="00BC0846" w:rsidRDefault="00BC0846" w:rsidP="00D00FBA">
            <w:pPr>
              <w:numPr>
                <w:ilvl w:val="0"/>
                <w:numId w:val="1"/>
              </w:numPr>
              <w:spacing w:after="0" w:line="240" w:lineRule="auto"/>
            </w:pPr>
            <w:r w:rsidRPr="00BC0846">
              <w:t>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23CF52E6" w14:textId="77777777" w:rsidR="00BC0846" w:rsidRPr="00BC0846" w:rsidRDefault="00BC0846" w:rsidP="00D00FBA">
            <w:pPr>
              <w:numPr>
                <w:ilvl w:val="0"/>
                <w:numId w:val="1"/>
              </w:numPr>
              <w:spacing w:after="0" w:line="240" w:lineRule="auto"/>
            </w:pPr>
            <w:r w:rsidRPr="00BC0846">
              <w:t>выявление типичных нарушений обязательных требований, причин, факторов и условий, способствующих возникновению указанных нарушений;</w:t>
            </w:r>
          </w:p>
          <w:p w14:paraId="63AC0344" w14:textId="77777777" w:rsidR="00BC0846" w:rsidRPr="00BC0846" w:rsidRDefault="00BC0846" w:rsidP="00D00FBA">
            <w:pPr>
              <w:numPr>
                <w:ilvl w:val="0"/>
                <w:numId w:val="1"/>
              </w:numPr>
              <w:spacing w:after="0" w:line="240" w:lineRule="auto"/>
            </w:pPr>
            <w:r w:rsidRPr="00BC0846">
              <w:t>анализ случаев причинения вреда (ущерба) охраняемым законом ценностям, выявление источников и факторов риска причинения вреда (ущерба);</w:t>
            </w:r>
          </w:p>
          <w:p w14:paraId="59062D01" w14:textId="77777777" w:rsidR="00BC0846" w:rsidRPr="00BC0846" w:rsidRDefault="00BC0846" w:rsidP="00D00FBA">
            <w:pPr>
              <w:numPr>
                <w:ilvl w:val="0"/>
                <w:numId w:val="1"/>
              </w:numPr>
              <w:spacing w:after="0" w:line="240" w:lineRule="auto"/>
            </w:pPr>
            <w:r w:rsidRPr="00BC0846">
              <w:t>подготовка предложений об актуализации обязательных требований;</w:t>
            </w:r>
          </w:p>
          <w:p w14:paraId="5CF96F61" w14:textId="1557E975" w:rsidR="00BC0846" w:rsidRDefault="00BC0846" w:rsidP="00D00FBA">
            <w:pPr>
              <w:numPr>
                <w:ilvl w:val="0"/>
                <w:numId w:val="1"/>
              </w:numPr>
              <w:spacing w:after="0" w:line="240" w:lineRule="auto"/>
            </w:pPr>
            <w:r w:rsidRPr="00BC0846">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68A3EF5D" w14:textId="77777777" w:rsidR="0001279F" w:rsidRPr="00BC0846" w:rsidRDefault="0001279F" w:rsidP="00D00FBA">
            <w:pPr>
              <w:numPr>
                <w:ilvl w:val="0"/>
                <w:numId w:val="1"/>
              </w:numPr>
              <w:spacing w:after="0" w:line="240" w:lineRule="auto"/>
            </w:pPr>
          </w:p>
          <w:p w14:paraId="6832CB48" w14:textId="7422B606" w:rsidR="00BC0846" w:rsidRDefault="00BC0846" w:rsidP="00D00FBA">
            <w:pPr>
              <w:spacing w:after="0" w:line="240" w:lineRule="auto"/>
            </w:pPr>
            <w:r w:rsidRPr="00BC0846">
              <w:t>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министерства.</w:t>
            </w:r>
          </w:p>
          <w:p w14:paraId="72ADEBF4" w14:textId="77777777" w:rsidR="0001279F" w:rsidRPr="00BC0846" w:rsidRDefault="0001279F" w:rsidP="00D00FBA">
            <w:pPr>
              <w:spacing w:after="0" w:line="240" w:lineRule="auto"/>
            </w:pPr>
          </w:p>
          <w:p w14:paraId="563C1DA0" w14:textId="77777777" w:rsidR="00BC0846" w:rsidRDefault="00BC0846" w:rsidP="00D00FBA">
            <w:pPr>
              <w:spacing w:after="0" w:line="240" w:lineRule="auto"/>
            </w:pPr>
            <w:r w:rsidRPr="00BC0846">
              <w:t>Доклад утверждается министром либо заместителем министра и представляется в электронной форме посредством государственной автоматизированной информационной системы «Управление» в срок не позднее 1 марта года, следующего за отчетным</w:t>
            </w:r>
            <w:r>
              <w:t>.</w:t>
            </w:r>
          </w:p>
          <w:p w14:paraId="7FAD6A56" w14:textId="74787338" w:rsidR="00BC0846" w:rsidRPr="00BC0846" w:rsidRDefault="00BC0846" w:rsidP="00D00FBA">
            <w:pPr>
              <w:spacing w:after="0" w:line="240" w:lineRule="auto"/>
            </w:pPr>
          </w:p>
        </w:tc>
      </w:tr>
      <w:tr w:rsidR="00BC0846" w:rsidRPr="00BC0846" w14:paraId="449D7249" w14:textId="77777777">
        <w:tblPrEx>
          <w:tblCellMar>
            <w:top w:w="0" w:type="dxa"/>
            <w:left w:w="0" w:type="dxa"/>
            <w:bottom w:w="0" w:type="dxa"/>
            <w:right w:w="0" w:type="dxa"/>
          </w:tblCellMar>
        </w:tblPrEx>
        <w:trPr>
          <w:trHeight w:hRule="exact" w:val="3264"/>
        </w:trPr>
        <w:tc>
          <w:tcPr>
            <w:tcW w:w="2621" w:type="dxa"/>
            <w:tcBorders>
              <w:top w:val="single" w:sz="4" w:space="0" w:color="auto"/>
              <w:left w:val="single" w:sz="4" w:space="0" w:color="auto"/>
              <w:bottom w:val="single" w:sz="4" w:space="0" w:color="auto"/>
              <w:right w:val="nil"/>
            </w:tcBorders>
            <w:shd w:val="clear" w:color="auto" w:fill="FFFFFF"/>
          </w:tcPr>
          <w:p w14:paraId="25431360" w14:textId="53D7BDBF" w:rsidR="00BC0846" w:rsidRPr="00BC0846" w:rsidRDefault="00BC0846" w:rsidP="00D00FBA">
            <w:pPr>
              <w:spacing w:after="0" w:line="240" w:lineRule="auto"/>
            </w:pPr>
            <w:r w:rsidRPr="00BC0846">
              <w:t>Объявление предостережения</w:t>
            </w:r>
          </w:p>
        </w:tc>
        <w:tc>
          <w:tcPr>
            <w:tcW w:w="3403" w:type="dxa"/>
            <w:tcBorders>
              <w:top w:val="single" w:sz="4" w:space="0" w:color="auto"/>
              <w:left w:val="single" w:sz="4" w:space="0" w:color="auto"/>
              <w:bottom w:val="single" w:sz="4" w:space="0" w:color="auto"/>
              <w:right w:val="nil"/>
            </w:tcBorders>
            <w:shd w:val="clear" w:color="auto" w:fill="FFFFFF"/>
          </w:tcPr>
          <w:p w14:paraId="194B1674" w14:textId="77777777" w:rsidR="00BC0846" w:rsidRPr="00BC0846" w:rsidRDefault="00BC0846" w:rsidP="00D00FBA">
            <w:pPr>
              <w:spacing w:after="0" w:line="240" w:lineRule="auto"/>
            </w:pPr>
            <w:r w:rsidRPr="00BC0846">
              <w:t>Отдел лицензирования</w:t>
            </w:r>
          </w:p>
        </w:tc>
        <w:tc>
          <w:tcPr>
            <w:tcW w:w="8842" w:type="dxa"/>
            <w:tcBorders>
              <w:top w:val="single" w:sz="4" w:space="0" w:color="auto"/>
              <w:left w:val="single" w:sz="4" w:space="0" w:color="auto"/>
              <w:bottom w:val="single" w:sz="4" w:space="0" w:color="auto"/>
              <w:right w:val="single" w:sz="4" w:space="0" w:color="auto"/>
            </w:tcBorders>
            <w:shd w:val="clear" w:color="auto" w:fill="FFFFFF"/>
            <w:vAlign w:val="center"/>
          </w:tcPr>
          <w:p w14:paraId="70A92C0A" w14:textId="77777777" w:rsidR="00BC0846" w:rsidRPr="00BC0846" w:rsidRDefault="00BC0846" w:rsidP="00D00FBA">
            <w:pPr>
              <w:spacing w:after="0" w:line="240" w:lineRule="auto"/>
            </w:pPr>
            <w:r w:rsidRPr="00BC0846">
              <w:t>Порядок объявления предостережения установлен статьей 49 Федерального закона «О государственном контроле (надзоре) и муниципальном контроле в Российской Федерации».</w:t>
            </w:r>
          </w:p>
          <w:p w14:paraId="250B7BE9" w14:textId="6639781D" w:rsidR="00BC0846" w:rsidRPr="00BC0846" w:rsidRDefault="00BC0846" w:rsidP="00D00FBA">
            <w:pPr>
              <w:spacing w:after="0" w:line="240" w:lineRule="auto"/>
            </w:pPr>
            <w:r w:rsidRPr="00BC0846">
              <w:t>В случае на</w:t>
            </w:r>
            <w:r w:rsidR="00D00FBA">
              <w:t>ли</w:t>
            </w:r>
            <w:r w:rsidRPr="00BC0846">
              <w:t>чия у министерства сведений о готовящихся или нарушениях лицензионных требований или признаках нарушений лицензионных требований и (или) в случае отсутствия подтвержденных данных о том. что нарушение лицензионных требований причинило вред (ущерб) охраняемым законом ценностям либо создаю угрозу причинения вреда (ущерба) охраняемым законом ценностям, министерство объявляет лицензиату предостережение о недопустимости нарушения лицензионных требований и предлагает принять меры по обеспечению соблюдения лицензионных требований.</w:t>
            </w:r>
          </w:p>
        </w:tc>
      </w:tr>
    </w:tbl>
    <w:p w14:paraId="503419A3" w14:textId="79C863EB" w:rsidR="00BC0846" w:rsidRDefault="00BC0846" w:rsidP="00D00FBA">
      <w:pPr>
        <w:spacing w:after="0" w:line="240" w:lineRule="auto"/>
      </w:pPr>
    </w:p>
    <w:p w14:paraId="17AE292E" w14:textId="0F6E9877" w:rsidR="00BC0846" w:rsidRDefault="00BC0846" w:rsidP="00D00FBA">
      <w:pPr>
        <w:spacing w:after="0" w:line="240" w:lineRule="auto"/>
      </w:pPr>
    </w:p>
    <w:p w14:paraId="20DBBD09" w14:textId="28EFD7C4" w:rsidR="00BC0846" w:rsidRDefault="00BC0846" w:rsidP="00D00FBA">
      <w:pPr>
        <w:spacing w:after="0" w:line="240" w:lineRule="auto"/>
      </w:pPr>
    </w:p>
    <w:p w14:paraId="14353759" w14:textId="58990D33" w:rsidR="00BC0846" w:rsidRDefault="00BC0846" w:rsidP="00D00FBA">
      <w:pPr>
        <w:spacing w:after="0" w:line="240" w:lineRule="auto"/>
      </w:pPr>
    </w:p>
    <w:tbl>
      <w:tblPr>
        <w:tblW w:w="0" w:type="auto"/>
        <w:tblInd w:w="-5" w:type="dxa"/>
        <w:tblLayout w:type="fixed"/>
        <w:tblCellMar>
          <w:left w:w="0" w:type="dxa"/>
          <w:right w:w="0" w:type="dxa"/>
        </w:tblCellMar>
        <w:tblLook w:val="0000" w:firstRow="0" w:lastRow="0" w:firstColumn="0" w:lastColumn="0" w:noHBand="0" w:noVBand="0"/>
      </w:tblPr>
      <w:tblGrid>
        <w:gridCol w:w="2611"/>
        <w:gridCol w:w="3408"/>
        <w:gridCol w:w="8837"/>
      </w:tblGrid>
      <w:tr w:rsidR="00D00FBA" w:rsidRPr="00D00FBA" w14:paraId="598686E5" w14:textId="77777777" w:rsidTr="0001279F">
        <w:tblPrEx>
          <w:tblCellMar>
            <w:top w:w="0" w:type="dxa"/>
            <w:left w:w="0" w:type="dxa"/>
            <w:bottom w:w="0" w:type="dxa"/>
            <w:right w:w="0" w:type="dxa"/>
          </w:tblCellMar>
        </w:tblPrEx>
        <w:trPr>
          <w:trHeight w:hRule="exact" w:val="5405"/>
        </w:trPr>
        <w:tc>
          <w:tcPr>
            <w:tcW w:w="2611" w:type="dxa"/>
            <w:tcBorders>
              <w:top w:val="single" w:sz="4" w:space="0" w:color="auto"/>
              <w:left w:val="single" w:sz="4" w:space="0" w:color="auto"/>
              <w:bottom w:val="nil"/>
              <w:right w:val="nil"/>
            </w:tcBorders>
            <w:shd w:val="clear" w:color="auto" w:fill="FFFFFF"/>
          </w:tcPr>
          <w:p w14:paraId="54900B3C" w14:textId="77777777" w:rsidR="00D00FBA" w:rsidRPr="00D00FBA" w:rsidRDefault="00D00FBA" w:rsidP="00D00FBA">
            <w:pPr>
              <w:spacing w:after="0" w:line="240" w:lineRule="auto"/>
            </w:pPr>
          </w:p>
        </w:tc>
        <w:tc>
          <w:tcPr>
            <w:tcW w:w="3408" w:type="dxa"/>
            <w:tcBorders>
              <w:top w:val="single" w:sz="4" w:space="0" w:color="auto"/>
              <w:left w:val="single" w:sz="4" w:space="0" w:color="auto"/>
              <w:bottom w:val="nil"/>
              <w:right w:val="nil"/>
            </w:tcBorders>
            <w:shd w:val="clear" w:color="auto" w:fill="FFFFFF"/>
          </w:tcPr>
          <w:p w14:paraId="350BE65F" w14:textId="77777777" w:rsidR="00D00FBA" w:rsidRPr="00D00FBA" w:rsidRDefault="00D00FBA" w:rsidP="00D00FBA">
            <w:pPr>
              <w:spacing w:after="0" w:line="240" w:lineRule="auto"/>
            </w:pPr>
          </w:p>
        </w:tc>
        <w:tc>
          <w:tcPr>
            <w:tcW w:w="8837" w:type="dxa"/>
            <w:tcBorders>
              <w:top w:val="single" w:sz="4" w:space="0" w:color="auto"/>
              <w:left w:val="single" w:sz="4" w:space="0" w:color="auto"/>
              <w:bottom w:val="nil"/>
              <w:right w:val="single" w:sz="4" w:space="0" w:color="auto"/>
            </w:tcBorders>
            <w:shd w:val="clear" w:color="auto" w:fill="FFFFFF"/>
            <w:vAlign w:val="bottom"/>
          </w:tcPr>
          <w:p w14:paraId="2491A1BB" w14:textId="77777777" w:rsidR="00D00FBA" w:rsidRPr="00D00FBA" w:rsidRDefault="00D00FBA" w:rsidP="00D00FBA">
            <w:pPr>
              <w:spacing w:after="0" w:line="240" w:lineRule="auto"/>
            </w:pPr>
            <w:r w:rsidRPr="00D00FBA">
              <w:t>Решение о направлении предостережения, принимает министр, либо заместитель министра или иное уполномоченное приказом министерства должностное лицо министерства.</w:t>
            </w:r>
          </w:p>
          <w:p w14:paraId="01F646E6" w14:textId="77777777" w:rsidR="00D00FBA" w:rsidRPr="00D00FBA" w:rsidRDefault="00D00FBA" w:rsidP="00D00FBA">
            <w:pPr>
              <w:spacing w:after="0" w:line="240" w:lineRule="auto"/>
            </w:pPr>
            <w:r w:rsidRPr="00D00FBA">
              <w:t>Утверждение и объявление предостережения осуществляется не позднее 5 дней со дня получения уполномоченным должностным лицом министерства указанных сведений.</w:t>
            </w:r>
          </w:p>
          <w:p w14:paraId="600A8F5D" w14:textId="2067F138" w:rsidR="00D00FBA" w:rsidRDefault="00D00FBA" w:rsidP="00D00FBA">
            <w:pPr>
              <w:spacing w:after="0" w:line="240" w:lineRule="auto"/>
            </w:pPr>
            <w:r w:rsidRPr="00D00FBA">
              <w:t>Предостережение о недопустимости нарушения обязательных требований объявляется и направляется контролируемому лицу по почте заказным почтовым отправлением с уведомлением о вручении либо вручается лично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
          <w:p w14:paraId="4E9DC33D" w14:textId="77777777" w:rsidR="0001279F" w:rsidRPr="00D00FBA" w:rsidRDefault="0001279F" w:rsidP="00D00FBA">
            <w:pPr>
              <w:spacing w:after="0" w:line="240" w:lineRule="auto"/>
            </w:pPr>
          </w:p>
          <w:p w14:paraId="102ACA44" w14:textId="77777777" w:rsidR="00D00FBA" w:rsidRPr="00D00FBA" w:rsidRDefault="00D00FBA" w:rsidP="00D00FBA">
            <w:pPr>
              <w:spacing w:after="0" w:line="240" w:lineRule="auto"/>
            </w:pPr>
            <w:r w:rsidRPr="00D00FBA">
              <w:t>Предостережение о недопустимости нарушения обязательных требований не может содержать требование представления контролируемым лицом сведений и документов.</w:t>
            </w:r>
          </w:p>
          <w:p w14:paraId="272B097C" w14:textId="77777777" w:rsidR="00D00FBA" w:rsidRDefault="00D00FBA" w:rsidP="00D00FBA">
            <w:pPr>
              <w:spacing w:after="0" w:line="240" w:lineRule="auto"/>
            </w:pPr>
            <w:r w:rsidRPr="00D00FBA">
              <w:t>Министерство осуществляют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D0C60C2" w14:textId="77777777" w:rsidR="0001279F" w:rsidRDefault="0001279F" w:rsidP="00D00FBA">
            <w:pPr>
              <w:spacing w:after="0" w:line="240" w:lineRule="auto"/>
            </w:pPr>
          </w:p>
          <w:p w14:paraId="549E5743" w14:textId="3917B1CA" w:rsidR="0001279F" w:rsidRPr="00D00FBA" w:rsidRDefault="0001279F" w:rsidP="00D00FBA">
            <w:pPr>
              <w:spacing w:after="0" w:line="240" w:lineRule="auto"/>
            </w:pPr>
          </w:p>
        </w:tc>
      </w:tr>
      <w:tr w:rsidR="00D00FBA" w:rsidRPr="00D00FBA" w14:paraId="4820A94F" w14:textId="77777777" w:rsidTr="0001279F">
        <w:tblPrEx>
          <w:tblCellMar>
            <w:top w:w="0" w:type="dxa"/>
            <w:left w:w="0" w:type="dxa"/>
            <w:bottom w:w="0" w:type="dxa"/>
            <w:right w:w="0" w:type="dxa"/>
          </w:tblCellMar>
        </w:tblPrEx>
        <w:trPr>
          <w:trHeight w:hRule="exact" w:val="4829"/>
        </w:trPr>
        <w:tc>
          <w:tcPr>
            <w:tcW w:w="2611" w:type="dxa"/>
            <w:tcBorders>
              <w:top w:val="single" w:sz="4" w:space="0" w:color="auto"/>
              <w:left w:val="single" w:sz="4" w:space="0" w:color="auto"/>
              <w:bottom w:val="single" w:sz="4" w:space="0" w:color="auto"/>
              <w:right w:val="nil"/>
            </w:tcBorders>
            <w:shd w:val="clear" w:color="auto" w:fill="FFFFFF"/>
          </w:tcPr>
          <w:p w14:paraId="18F1EC11" w14:textId="77777777" w:rsidR="00D00FBA" w:rsidRPr="00D00FBA" w:rsidRDefault="00D00FBA" w:rsidP="00D00FBA">
            <w:pPr>
              <w:spacing w:after="0" w:line="240" w:lineRule="auto"/>
            </w:pPr>
            <w:r w:rsidRPr="00D00FBA">
              <w:t>Консультирование</w:t>
            </w:r>
          </w:p>
        </w:tc>
        <w:tc>
          <w:tcPr>
            <w:tcW w:w="3408" w:type="dxa"/>
            <w:tcBorders>
              <w:top w:val="single" w:sz="4" w:space="0" w:color="auto"/>
              <w:left w:val="single" w:sz="4" w:space="0" w:color="auto"/>
              <w:bottom w:val="single" w:sz="4" w:space="0" w:color="auto"/>
              <w:right w:val="nil"/>
            </w:tcBorders>
            <w:shd w:val="clear" w:color="auto" w:fill="FFFFFF"/>
          </w:tcPr>
          <w:p w14:paraId="13F9F8BB" w14:textId="77777777" w:rsidR="00D00FBA" w:rsidRPr="00D00FBA" w:rsidRDefault="00D00FBA" w:rsidP="00D00FBA">
            <w:pPr>
              <w:spacing w:after="0" w:line="240" w:lineRule="auto"/>
            </w:pPr>
            <w:r w:rsidRPr="00D00FBA">
              <w:t>Отдел лицензирования</w:t>
            </w:r>
          </w:p>
        </w:tc>
        <w:tc>
          <w:tcPr>
            <w:tcW w:w="8837" w:type="dxa"/>
            <w:tcBorders>
              <w:top w:val="single" w:sz="4" w:space="0" w:color="auto"/>
              <w:left w:val="single" w:sz="4" w:space="0" w:color="auto"/>
              <w:bottom w:val="single" w:sz="4" w:space="0" w:color="auto"/>
              <w:right w:val="single" w:sz="4" w:space="0" w:color="auto"/>
            </w:tcBorders>
            <w:shd w:val="clear" w:color="auto" w:fill="FFFFFF"/>
            <w:vAlign w:val="center"/>
          </w:tcPr>
          <w:p w14:paraId="77C7EC61" w14:textId="77777777" w:rsidR="00D00FBA" w:rsidRPr="00D00FBA" w:rsidRDefault="00D00FBA" w:rsidP="00D00FBA">
            <w:pPr>
              <w:spacing w:after="0" w:line="240" w:lineRule="auto"/>
            </w:pPr>
            <w:r w:rsidRPr="00D00FBA">
              <w:t>Консультирование по вопросам лицензионного контроля осуществляется в порядке, установленном статьей 50 Федерального закона «О государственном контроле (надзоре) и муниципальном контроле в Российской Федерации».</w:t>
            </w:r>
          </w:p>
          <w:p w14:paraId="4BC44C42" w14:textId="0EB094F1" w:rsidR="00D00FBA" w:rsidRDefault="00D00FBA" w:rsidP="00D00FBA">
            <w:pPr>
              <w:spacing w:after="0" w:line="240" w:lineRule="auto"/>
            </w:pPr>
            <w:r w:rsidRPr="00D00FBA">
              <w:t>В случае обращения лицензиатов должностные лица министерства осуществляют консультирование, т.е. дают разъяснения по вопросам, связанным с организацией и осуществлением лицензионного контроля.</w:t>
            </w:r>
          </w:p>
          <w:p w14:paraId="274EA942" w14:textId="77777777" w:rsidR="0001279F" w:rsidRPr="00D00FBA" w:rsidRDefault="0001279F" w:rsidP="00D00FBA">
            <w:pPr>
              <w:spacing w:after="0" w:line="240" w:lineRule="auto"/>
            </w:pPr>
          </w:p>
          <w:p w14:paraId="44AE661B" w14:textId="4D7FAFAB" w:rsidR="00D00FBA" w:rsidRDefault="00D00FBA" w:rsidP="00D00FBA">
            <w:pPr>
              <w:spacing w:after="0" w:line="240" w:lineRule="auto"/>
            </w:pPr>
            <w:r w:rsidRPr="00D00FBA">
              <w:t>Консультирование может осуществляться:</w:t>
            </w:r>
          </w:p>
          <w:p w14:paraId="36831607" w14:textId="77777777" w:rsidR="0001279F" w:rsidRPr="00D00FBA" w:rsidRDefault="0001279F" w:rsidP="00D00FBA">
            <w:pPr>
              <w:spacing w:after="0" w:line="240" w:lineRule="auto"/>
            </w:pPr>
          </w:p>
          <w:p w14:paraId="718FE363" w14:textId="77777777" w:rsidR="00D00FBA" w:rsidRPr="00D00FBA" w:rsidRDefault="00D00FBA" w:rsidP="00D00FBA">
            <w:pPr>
              <w:numPr>
                <w:ilvl w:val="0"/>
                <w:numId w:val="1"/>
              </w:numPr>
              <w:spacing w:after="0" w:line="240" w:lineRule="auto"/>
            </w:pPr>
            <w:r w:rsidRPr="00D00FBA">
              <w:t>по телефону;</w:t>
            </w:r>
          </w:p>
          <w:p w14:paraId="3813350B" w14:textId="77777777" w:rsidR="00D00FBA" w:rsidRPr="00D00FBA" w:rsidRDefault="00D00FBA" w:rsidP="00D00FBA">
            <w:pPr>
              <w:numPr>
                <w:ilvl w:val="0"/>
                <w:numId w:val="1"/>
              </w:numPr>
              <w:spacing w:after="0" w:line="240" w:lineRule="auto"/>
            </w:pPr>
            <w:r w:rsidRPr="00D00FBA">
              <w:t>посредством видео-</w:t>
            </w:r>
            <w:proofErr w:type="spellStart"/>
            <w:r w:rsidRPr="00D00FBA">
              <w:t>конференц</w:t>
            </w:r>
            <w:proofErr w:type="spellEnd"/>
            <w:r w:rsidRPr="00D00FBA">
              <w:t xml:space="preserve"> связи;</w:t>
            </w:r>
          </w:p>
          <w:p w14:paraId="53E6A603" w14:textId="77777777" w:rsidR="00D00FBA" w:rsidRPr="00D00FBA" w:rsidRDefault="00D00FBA" w:rsidP="00D00FBA">
            <w:pPr>
              <w:numPr>
                <w:ilvl w:val="0"/>
                <w:numId w:val="1"/>
              </w:numPr>
              <w:spacing w:after="0" w:line="240" w:lineRule="auto"/>
            </w:pPr>
            <w:r w:rsidRPr="00D00FBA">
              <w:t>на личном приеме;</w:t>
            </w:r>
          </w:p>
          <w:p w14:paraId="527B91B6" w14:textId="77777777" w:rsidR="00D00FBA" w:rsidRPr="00D00FBA" w:rsidRDefault="00D00FBA" w:rsidP="00D00FBA">
            <w:pPr>
              <w:numPr>
                <w:ilvl w:val="0"/>
                <w:numId w:val="1"/>
              </w:numPr>
              <w:spacing w:after="0" w:line="240" w:lineRule="auto"/>
            </w:pPr>
            <w:r w:rsidRPr="00D00FBA">
              <w:t>в ходе проведения профилактического мероприятия:</w:t>
            </w:r>
          </w:p>
          <w:p w14:paraId="6991DE0A" w14:textId="5DF0DB64" w:rsidR="00D00FBA" w:rsidRDefault="00D00FBA" w:rsidP="00D00FBA">
            <w:pPr>
              <w:numPr>
                <w:ilvl w:val="0"/>
                <w:numId w:val="1"/>
              </w:numPr>
              <w:spacing w:after="0" w:line="240" w:lineRule="auto"/>
            </w:pPr>
            <w:r w:rsidRPr="00D00FBA">
              <w:t>в ходе проведения контрольного мероприятия.</w:t>
            </w:r>
          </w:p>
          <w:p w14:paraId="7C1D64CA" w14:textId="77777777" w:rsidR="0001279F" w:rsidRPr="00D00FBA" w:rsidRDefault="0001279F" w:rsidP="0001279F">
            <w:pPr>
              <w:spacing w:after="0" w:line="240" w:lineRule="auto"/>
            </w:pPr>
          </w:p>
          <w:p w14:paraId="38CF73B9" w14:textId="77777777" w:rsidR="0001279F" w:rsidRPr="00D00FBA" w:rsidRDefault="00D00FBA" w:rsidP="0001279F">
            <w:pPr>
              <w:spacing w:after="0" w:line="240" w:lineRule="auto"/>
            </w:pPr>
            <w:r w:rsidRPr="00D00FBA">
              <w:t>Консультирование, включая письменное консультирование, осуществляется</w:t>
            </w:r>
            <w:r w:rsidR="002D7B00">
              <w:t xml:space="preserve"> </w:t>
            </w:r>
            <w:r w:rsidR="0001279F" w:rsidRPr="00D00FBA">
              <w:t>по следующим вопросам:</w:t>
            </w:r>
          </w:p>
          <w:p w14:paraId="1C000731" w14:textId="09974C56" w:rsidR="00D00FBA" w:rsidRPr="00D00FBA" w:rsidRDefault="00D00FBA" w:rsidP="00D00FBA">
            <w:pPr>
              <w:spacing w:after="0" w:line="240" w:lineRule="auto"/>
            </w:pPr>
          </w:p>
        </w:tc>
      </w:tr>
    </w:tbl>
    <w:p w14:paraId="029C3C64" w14:textId="3EC57A28" w:rsidR="00BC0846" w:rsidRDefault="00BC0846" w:rsidP="00D00FBA">
      <w:pPr>
        <w:spacing w:after="0" w:line="240" w:lineRule="auto"/>
      </w:pPr>
    </w:p>
    <w:p w14:paraId="38EC225B" w14:textId="55EED506" w:rsidR="00BC0846" w:rsidRDefault="00BC0846" w:rsidP="00D00FBA">
      <w:pPr>
        <w:spacing w:after="0" w:line="240" w:lineRule="auto"/>
      </w:pPr>
    </w:p>
    <w:tbl>
      <w:tblPr>
        <w:tblW w:w="15026" w:type="dxa"/>
        <w:tblInd w:w="-5" w:type="dxa"/>
        <w:tblLayout w:type="fixed"/>
        <w:tblCellMar>
          <w:left w:w="0" w:type="dxa"/>
          <w:right w:w="0" w:type="dxa"/>
        </w:tblCellMar>
        <w:tblLook w:val="0000" w:firstRow="0" w:lastRow="0" w:firstColumn="0" w:lastColumn="0" w:noHBand="0" w:noVBand="0"/>
      </w:tblPr>
      <w:tblGrid>
        <w:gridCol w:w="2597"/>
        <w:gridCol w:w="3408"/>
        <w:gridCol w:w="9021"/>
      </w:tblGrid>
      <w:tr w:rsidR="00D00FBA" w:rsidRPr="00D00FBA" w14:paraId="7FAFBC8E" w14:textId="77777777" w:rsidTr="0001279F">
        <w:tblPrEx>
          <w:tblCellMar>
            <w:top w:w="0" w:type="dxa"/>
            <w:left w:w="0" w:type="dxa"/>
            <w:bottom w:w="0" w:type="dxa"/>
            <w:right w:w="0" w:type="dxa"/>
          </w:tblCellMar>
        </w:tblPrEx>
        <w:trPr>
          <w:trHeight w:hRule="exact" w:val="6131"/>
        </w:trPr>
        <w:tc>
          <w:tcPr>
            <w:tcW w:w="2597" w:type="dxa"/>
            <w:tcBorders>
              <w:top w:val="single" w:sz="4" w:space="0" w:color="auto"/>
              <w:left w:val="single" w:sz="4" w:space="0" w:color="auto"/>
              <w:bottom w:val="nil"/>
              <w:right w:val="nil"/>
            </w:tcBorders>
            <w:shd w:val="clear" w:color="auto" w:fill="FFFFFF"/>
          </w:tcPr>
          <w:p w14:paraId="6A340C3E" w14:textId="77777777" w:rsidR="00D00FBA" w:rsidRPr="00D00FBA" w:rsidRDefault="00D00FBA" w:rsidP="00D00FBA">
            <w:pPr>
              <w:spacing w:after="0" w:line="240" w:lineRule="auto"/>
            </w:pPr>
          </w:p>
        </w:tc>
        <w:tc>
          <w:tcPr>
            <w:tcW w:w="3408" w:type="dxa"/>
            <w:tcBorders>
              <w:top w:val="single" w:sz="4" w:space="0" w:color="auto"/>
              <w:left w:val="single" w:sz="4" w:space="0" w:color="auto"/>
              <w:bottom w:val="nil"/>
              <w:right w:val="nil"/>
            </w:tcBorders>
            <w:shd w:val="clear" w:color="auto" w:fill="FFFFFF"/>
          </w:tcPr>
          <w:p w14:paraId="69C6921E" w14:textId="77777777" w:rsidR="00D00FBA" w:rsidRPr="00D00FBA" w:rsidRDefault="00D00FBA" w:rsidP="00D00FBA">
            <w:pPr>
              <w:spacing w:after="0" w:line="240" w:lineRule="auto"/>
            </w:pPr>
          </w:p>
        </w:tc>
        <w:tc>
          <w:tcPr>
            <w:tcW w:w="9021" w:type="dxa"/>
            <w:tcBorders>
              <w:top w:val="single" w:sz="4" w:space="0" w:color="auto"/>
              <w:left w:val="single" w:sz="4" w:space="0" w:color="auto"/>
              <w:bottom w:val="nil"/>
              <w:right w:val="single" w:sz="4" w:space="0" w:color="auto"/>
            </w:tcBorders>
            <w:shd w:val="clear" w:color="auto" w:fill="FFFFFF"/>
            <w:vAlign w:val="center"/>
          </w:tcPr>
          <w:p w14:paraId="1D0706FC" w14:textId="77777777" w:rsidR="00D00FBA" w:rsidRPr="00D00FBA" w:rsidRDefault="00D00FBA" w:rsidP="00D00FBA">
            <w:pPr>
              <w:numPr>
                <w:ilvl w:val="0"/>
                <w:numId w:val="1"/>
              </w:numPr>
              <w:spacing w:after="0" w:line="240" w:lineRule="auto"/>
            </w:pPr>
            <w:r w:rsidRPr="00D00FBA">
              <w:t>разъяснение положений нормативных правовых актов, содержащих лицензионные требования, оценка соблюдения которых осуществляется в рамках лицензионного контроля;</w:t>
            </w:r>
          </w:p>
          <w:p w14:paraId="31A3A57A" w14:textId="77777777" w:rsidR="00D00FBA" w:rsidRPr="00D00FBA" w:rsidRDefault="00D00FBA" w:rsidP="00D00FBA">
            <w:pPr>
              <w:numPr>
                <w:ilvl w:val="0"/>
                <w:numId w:val="1"/>
              </w:numPr>
              <w:spacing w:after="0" w:line="240" w:lineRule="auto"/>
            </w:pPr>
            <w:r w:rsidRPr="00D00FBA">
              <w:t>периодичность и порядок проведения контрольных мероприятий;</w:t>
            </w:r>
          </w:p>
          <w:p w14:paraId="6E0FFF13" w14:textId="77777777" w:rsidR="00D00FBA" w:rsidRPr="00D00FBA" w:rsidRDefault="00D00FBA" w:rsidP="00D00FBA">
            <w:pPr>
              <w:numPr>
                <w:ilvl w:val="0"/>
                <w:numId w:val="1"/>
              </w:numPr>
              <w:spacing w:after="0" w:line="240" w:lineRule="auto"/>
            </w:pPr>
            <w:r w:rsidRPr="00D00FBA">
              <w:t>порядок обжалования решений министерства, действий или бездействий должностных лиц министерства;</w:t>
            </w:r>
          </w:p>
          <w:p w14:paraId="76B98039" w14:textId="31C36A4E" w:rsidR="00D00FBA" w:rsidRDefault="00D00FBA" w:rsidP="00D00FBA">
            <w:pPr>
              <w:numPr>
                <w:ilvl w:val="0"/>
                <w:numId w:val="1"/>
              </w:numPr>
              <w:spacing w:after="0" w:line="240" w:lineRule="auto"/>
            </w:pPr>
            <w:r w:rsidRPr="00D00FBA">
              <w:t>гарантии и защита прав лицензиатов.</w:t>
            </w:r>
          </w:p>
          <w:p w14:paraId="30D208BB" w14:textId="77777777" w:rsidR="0001279F" w:rsidRPr="00D00FBA" w:rsidRDefault="0001279F" w:rsidP="0001279F">
            <w:pPr>
              <w:spacing w:after="0" w:line="240" w:lineRule="auto"/>
            </w:pPr>
          </w:p>
          <w:p w14:paraId="45790284" w14:textId="04A5B1F9" w:rsidR="00D00FBA" w:rsidRDefault="00D00FBA" w:rsidP="00D00FBA">
            <w:pPr>
              <w:spacing w:after="0" w:line="240" w:lineRule="auto"/>
            </w:pPr>
            <w:r w:rsidRPr="00D00FBA">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министерства.</w:t>
            </w:r>
          </w:p>
          <w:p w14:paraId="63A94E3C" w14:textId="77777777" w:rsidR="0001279F" w:rsidRPr="00D00FBA" w:rsidRDefault="0001279F" w:rsidP="00D00FBA">
            <w:pPr>
              <w:spacing w:after="0" w:line="240" w:lineRule="auto"/>
            </w:pPr>
          </w:p>
          <w:p w14:paraId="4E626CE0" w14:textId="712B3726" w:rsidR="00D00FBA" w:rsidRDefault="00D00FBA" w:rsidP="00D00FBA">
            <w:pPr>
              <w:spacing w:after="0" w:line="240" w:lineRule="auto"/>
            </w:pPr>
            <w:r w:rsidRPr="00D00FBA">
              <w:t>Консультирование по однотипным обращениям (5 и более) лицензиатов и их представителей может осуществляться посредством размещения на официальном сайте министерства в информационно-телекоммуникационной сети «Интернет» письменных разъяснений, подписанных уполномоченным должностным лицом министерства.</w:t>
            </w:r>
          </w:p>
          <w:p w14:paraId="21EFA777" w14:textId="77777777" w:rsidR="0001279F" w:rsidRPr="00D00FBA" w:rsidRDefault="0001279F" w:rsidP="00D00FBA">
            <w:pPr>
              <w:spacing w:after="0" w:line="240" w:lineRule="auto"/>
            </w:pPr>
          </w:p>
          <w:p w14:paraId="30F7AEEF" w14:textId="77777777" w:rsidR="00D00FBA" w:rsidRPr="00D00FBA" w:rsidRDefault="00D00FBA" w:rsidP="00D00FBA">
            <w:pPr>
              <w:spacing w:after="0" w:line="240" w:lineRule="auto"/>
            </w:pPr>
            <w:r w:rsidRPr="00D00FBA">
              <w:t>Консультирование осуществляется без взимания платы.</w:t>
            </w:r>
          </w:p>
          <w:p w14:paraId="28FECD55" w14:textId="77777777" w:rsidR="00D00FBA" w:rsidRPr="00D00FBA" w:rsidRDefault="00D00FBA" w:rsidP="00D00FBA">
            <w:pPr>
              <w:spacing w:after="0" w:line="240" w:lineRule="auto"/>
            </w:pPr>
            <w:r w:rsidRPr="00D00FBA">
              <w:t>Уполномоченные должностные лица министерства осуществляют учет консультаций.</w:t>
            </w:r>
          </w:p>
          <w:p w14:paraId="52180CCC" w14:textId="77777777" w:rsidR="00D00FBA" w:rsidRPr="00D00FBA" w:rsidRDefault="00D00FBA" w:rsidP="00D00FBA">
            <w:pPr>
              <w:spacing w:after="0" w:line="240" w:lineRule="auto"/>
            </w:pPr>
            <w:r w:rsidRPr="00D00FBA">
              <w:t>Консультирование осуществляется по мере необходимости.</w:t>
            </w:r>
          </w:p>
        </w:tc>
      </w:tr>
      <w:tr w:rsidR="00D00FBA" w:rsidRPr="00D00FBA" w14:paraId="7BC89B6F" w14:textId="77777777" w:rsidTr="002D7B00">
        <w:tblPrEx>
          <w:tblCellMar>
            <w:top w:w="0" w:type="dxa"/>
            <w:left w:w="0" w:type="dxa"/>
            <w:bottom w:w="0" w:type="dxa"/>
            <w:right w:w="0" w:type="dxa"/>
          </w:tblCellMar>
        </w:tblPrEx>
        <w:trPr>
          <w:trHeight w:hRule="exact" w:val="3279"/>
        </w:trPr>
        <w:tc>
          <w:tcPr>
            <w:tcW w:w="2597" w:type="dxa"/>
            <w:tcBorders>
              <w:top w:val="single" w:sz="4" w:space="0" w:color="auto"/>
              <w:left w:val="single" w:sz="4" w:space="0" w:color="auto"/>
              <w:bottom w:val="single" w:sz="4" w:space="0" w:color="auto"/>
              <w:right w:val="nil"/>
            </w:tcBorders>
            <w:shd w:val="clear" w:color="auto" w:fill="FFFFFF"/>
          </w:tcPr>
          <w:p w14:paraId="13E19A9C" w14:textId="77777777" w:rsidR="00D00FBA" w:rsidRPr="00D00FBA" w:rsidRDefault="00D00FBA" w:rsidP="00D00FBA">
            <w:pPr>
              <w:spacing w:after="0" w:line="240" w:lineRule="auto"/>
            </w:pPr>
            <w:r w:rsidRPr="00D00FBA">
              <w:t>Профилактический</w:t>
            </w:r>
          </w:p>
          <w:p w14:paraId="50F5126F" w14:textId="77777777" w:rsidR="00D00FBA" w:rsidRPr="00D00FBA" w:rsidRDefault="00D00FBA" w:rsidP="00D00FBA">
            <w:pPr>
              <w:spacing w:after="0" w:line="240" w:lineRule="auto"/>
            </w:pPr>
            <w:r w:rsidRPr="00D00FBA">
              <w:t>визит</w:t>
            </w:r>
          </w:p>
        </w:tc>
        <w:tc>
          <w:tcPr>
            <w:tcW w:w="3408" w:type="dxa"/>
            <w:tcBorders>
              <w:top w:val="single" w:sz="4" w:space="0" w:color="auto"/>
              <w:left w:val="single" w:sz="4" w:space="0" w:color="auto"/>
              <w:bottom w:val="single" w:sz="4" w:space="0" w:color="auto"/>
              <w:right w:val="nil"/>
            </w:tcBorders>
            <w:shd w:val="clear" w:color="auto" w:fill="FFFFFF"/>
          </w:tcPr>
          <w:p w14:paraId="64D11C44" w14:textId="77777777" w:rsidR="00D00FBA" w:rsidRPr="00D00FBA" w:rsidRDefault="00D00FBA" w:rsidP="00D00FBA">
            <w:pPr>
              <w:spacing w:after="0" w:line="240" w:lineRule="auto"/>
            </w:pPr>
            <w:r w:rsidRPr="00D00FBA">
              <w:t>Отдел лицензирования</w:t>
            </w:r>
          </w:p>
        </w:tc>
        <w:tc>
          <w:tcPr>
            <w:tcW w:w="9021" w:type="dxa"/>
            <w:tcBorders>
              <w:top w:val="single" w:sz="4" w:space="0" w:color="auto"/>
              <w:left w:val="single" w:sz="4" w:space="0" w:color="auto"/>
              <w:bottom w:val="single" w:sz="4" w:space="0" w:color="auto"/>
              <w:right w:val="single" w:sz="4" w:space="0" w:color="auto"/>
            </w:tcBorders>
            <w:shd w:val="clear" w:color="auto" w:fill="FFFFFF"/>
            <w:vAlign w:val="center"/>
          </w:tcPr>
          <w:p w14:paraId="453644C7" w14:textId="542E7700" w:rsidR="00D00FBA" w:rsidRPr="00D00FBA" w:rsidRDefault="00D00FBA" w:rsidP="00D00FBA">
            <w:pPr>
              <w:spacing w:after="0" w:line="240" w:lineRule="auto"/>
            </w:pPr>
            <w:r w:rsidRPr="00D00FBA">
              <w:t>Профилактический визит должностными лицами министерства проводится в соответствии с требованиями, установленными статьей 52 Федерального закона «О государственном контроле (надзоре) и муниципальном контроле в Российской Федерации».</w:t>
            </w:r>
          </w:p>
          <w:p w14:paraId="4DF96B98" w14:textId="77777777" w:rsidR="00D00FBA" w:rsidRPr="00D00FBA" w:rsidRDefault="00D00FBA" w:rsidP="00D00FBA">
            <w:pPr>
              <w:spacing w:after="0" w:line="240" w:lineRule="auto"/>
            </w:pPr>
            <w:r w:rsidRPr="00D00FBA">
              <w:t>Обязательные профилактические визиты проводятся в отношении лицензиатов, приступающих к осуществлению деятельности по заготовке, хранению, переработке, реализации лома черных и (или) цветных металлов, а также в отношении объектов лицензионного контроля, отнесенных к категории высокого риска.</w:t>
            </w:r>
          </w:p>
          <w:p w14:paraId="74A1963C" w14:textId="01F8410C" w:rsidR="00D00FBA" w:rsidRDefault="00D00FBA" w:rsidP="00D00FBA">
            <w:pPr>
              <w:spacing w:after="0" w:line="240" w:lineRule="auto"/>
            </w:pPr>
            <w:r w:rsidRPr="00D00FBA">
              <w:t>Обязательные профилактические визиты проводятся в соответствии с утвержденным планом-графиком.</w:t>
            </w:r>
          </w:p>
          <w:p w14:paraId="2BE42168" w14:textId="77777777" w:rsidR="0001279F" w:rsidRPr="00D00FBA" w:rsidRDefault="0001279F" w:rsidP="00D00FBA">
            <w:pPr>
              <w:spacing w:after="0" w:line="240" w:lineRule="auto"/>
            </w:pPr>
          </w:p>
          <w:p w14:paraId="760D6AD6" w14:textId="6CD9492A" w:rsidR="002D7B00" w:rsidRPr="00D00FBA" w:rsidRDefault="00D00FBA" w:rsidP="002D7B00">
            <w:pPr>
              <w:spacing w:after="0" w:line="240" w:lineRule="auto"/>
            </w:pPr>
            <w:r w:rsidRPr="00D00FBA">
              <w:t>В ходе обязательного профилактического визита лицензиат информируется об лицензионных требованиях, предъявляемых к его деятельности, а также о периодичности и содержании контрольных мероприятий, проводимых в</w:t>
            </w:r>
            <w:r>
              <w:t xml:space="preserve"> </w:t>
            </w:r>
            <w:r w:rsidR="002D7B00" w:rsidRPr="002D7B00">
              <w:t xml:space="preserve">отношении объектов лицензионного контроля </w:t>
            </w:r>
          </w:p>
        </w:tc>
      </w:tr>
      <w:tr w:rsidR="002D7B00" w:rsidRPr="00D00FBA" w14:paraId="5A9EB195" w14:textId="77777777" w:rsidTr="002D7B00">
        <w:tblPrEx>
          <w:tblCellMar>
            <w:top w:w="0" w:type="dxa"/>
            <w:left w:w="0" w:type="dxa"/>
            <w:bottom w:w="0" w:type="dxa"/>
            <w:right w:w="0" w:type="dxa"/>
          </w:tblCellMar>
        </w:tblPrEx>
        <w:trPr>
          <w:trHeight w:hRule="exact" w:val="3279"/>
        </w:trPr>
        <w:tc>
          <w:tcPr>
            <w:tcW w:w="2597" w:type="dxa"/>
            <w:tcBorders>
              <w:top w:val="single" w:sz="4" w:space="0" w:color="auto"/>
              <w:left w:val="single" w:sz="4" w:space="0" w:color="auto"/>
              <w:bottom w:val="single" w:sz="4" w:space="0" w:color="auto"/>
              <w:right w:val="nil"/>
            </w:tcBorders>
            <w:shd w:val="clear" w:color="auto" w:fill="FFFFFF"/>
          </w:tcPr>
          <w:p w14:paraId="08D758F8" w14:textId="77777777" w:rsidR="002D7B00" w:rsidRPr="00D00FBA" w:rsidRDefault="002D7B00" w:rsidP="00D00FBA">
            <w:pPr>
              <w:spacing w:after="0" w:line="240" w:lineRule="auto"/>
            </w:pPr>
          </w:p>
        </w:tc>
        <w:tc>
          <w:tcPr>
            <w:tcW w:w="3408" w:type="dxa"/>
            <w:tcBorders>
              <w:top w:val="single" w:sz="4" w:space="0" w:color="auto"/>
              <w:left w:val="single" w:sz="4" w:space="0" w:color="auto"/>
              <w:bottom w:val="single" w:sz="4" w:space="0" w:color="auto"/>
              <w:right w:val="nil"/>
            </w:tcBorders>
            <w:shd w:val="clear" w:color="auto" w:fill="FFFFFF"/>
          </w:tcPr>
          <w:p w14:paraId="487CCF5A" w14:textId="77777777" w:rsidR="002D7B00" w:rsidRPr="00D00FBA" w:rsidRDefault="002D7B00" w:rsidP="00D00FBA">
            <w:pPr>
              <w:spacing w:after="0" w:line="240" w:lineRule="auto"/>
            </w:pPr>
          </w:p>
        </w:tc>
        <w:tc>
          <w:tcPr>
            <w:tcW w:w="9021" w:type="dxa"/>
            <w:tcBorders>
              <w:top w:val="single" w:sz="4" w:space="0" w:color="auto"/>
              <w:left w:val="single" w:sz="4" w:space="0" w:color="auto"/>
              <w:bottom w:val="single" w:sz="4" w:space="0" w:color="auto"/>
              <w:right w:val="single" w:sz="4" w:space="0" w:color="auto"/>
            </w:tcBorders>
            <w:shd w:val="clear" w:color="auto" w:fill="FFFFFF"/>
            <w:vAlign w:val="center"/>
          </w:tcPr>
          <w:p w14:paraId="197A8C90" w14:textId="6ED1B6F9" w:rsidR="002D7B00" w:rsidRPr="002D7B00" w:rsidRDefault="002D7B00" w:rsidP="002D7B00">
            <w:pPr>
              <w:spacing w:after="0" w:line="240" w:lineRule="auto"/>
            </w:pPr>
            <w:r w:rsidRPr="002D7B00">
              <w:t>различных категорий риска.</w:t>
            </w:r>
          </w:p>
          <w:p w14:paraId="0D6F2511" w14:textId="77777777" w:rsidR="002D7B00" w:rsidRPr="002D7B00" w:rsidRDefault="002D7B00" w:rsidP="002D7B00">
            <w:pPr>
              <w:spacing w:after="0" w:line="240" w:lineRule="auto"/>
            </w:pPr>
            <w:r w:rsidRPr="002D7B00">
              <w:t>В ходе обязательного профилактического визита должностным лицом министерства может осуществляться консультирование лицензиата в порядке, установленном статьей 50 Федерального закона «О государственном контроле (надзоре) и муниципальном контроле в Российской Федерации».</w:t>
            </w:r>
          </w:p>
          <w:p w14:paraId="7BEDABDA" w14:textId="77777777" w:rsidR="002D7B00" w:rsidRPr="002D7B00" w:rsidRDefault="002D7B00" w:rsidP="002D7B00">
            <w:pPr>
              <w:spacing w:after="0" w:line="240" w:lineRule="auto"/>
            </w:pPr>
            <w:r w:rsidRPr="002D7B00">
              <w:t>Лицензиат должен быть уведомлен о проведении обязательного профилактического визита не позднее чем за 5 рабочих дней до даты его проведения. Срок проведения обязательного профилактического визита не может превышать 1 рабочий день.</w:t>
            </w:r>
          </w:p>
          <w:p w14:paraId="67E6D09D" w14:textId="77777777" w:rsidR="002D7B00" w:rsidRPr="002D7B00" w:rsidRDefault="002D7B00" w:rsidP="002D7B00">
            <w:pPr>
              <w:spacing w:after="0" w:line="240" w:lineRule="auto"/>
            </w:pPr>
            <w:r w:rsidRPr="002D7B00">
              <w:t>Лицензиат вправе отказаться от проведения обязательного профилактического визита, уведомив об этом министерство не позднее чем за 3 рабочих дня до даты его проведения.</w:t>
            </w:r>
          </w:p>
          <w:p w14:paraId="1CDE1225" w14:textId="77777777" w:rsidR="002D7B00" w:rsidRPr="002D7B00" w:rsidRDefault="002D7B00" w:rsidP="002D7B00">
            <w:pPr>
              <w:spacing w:after="0" w:line="240" w:lineRule="auto"/>
            </w:pPr>
            <w:r w:rsidRPr="002D7B00">
              <w:t>Министерство обязано предложить лицензиатам, приступающим к осуществлению деятельности по заготовке, храпению, переработке, реализации лома черных и (или) цветных металлов проведение профилактических визитов не позднее чем в течение одного года с момента начала такой деятельности.</w:t>
            </w:r>
          </w:p>
          <w:p w14:paraId="0E6AD9A1" w14:textId="77777777" w:rsidR="002D7B00" w:rsidRPr="002D7B00" w:rsidRDefault="002D7B00" w:rsidP="002D7B00">
            <w:pPr>
              <w:spacing w:after="0" w:line="240" w:lineRule="auto"/>
            </w:pPr>
            <w:r w:rsidRPr="002D7B00">
              <w:t>При проведении профилактического визита лицензиатам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72B7E71" w14:textId="342BB434" w:rsidR="002D7B00" w:rsidRPr="00D00FBA" w:rsidRDefault="002D7B00" w:rsidP="002D7B00">
            <w:pPr>
              <w:spacing w:after="0" w:line="240" w:lineRule="auto"/>
            </w:pPr>
            <w:r w:rsidRPr="002D7B00">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министру или заместителю министра для принятия решения о проведении контрольных мероприятий.</w:t>
            </w:r>
          </w:p>
        </w:tc>
      </w:tr>
    </w:tbl>
    <w:p w14:paraId="466F2A76" w14:textId="31BCBE32" w:rsidR="00BC0846" w:rsidRDefault="00BC0846" w:rsidP="00D00FBA">
      <w:pPr>
        <w:spacing w:after="0" w:line="240" w:lineRule="auto"/>
      </w:pPr>
    </w:p>
    <w:p w14:paraId="30D94906" w14:textId="1AD34240" w:rsidR="00BC0846" w:rsidRDefault="00BC0846"/>
    <w:p w14:paraId="478F6494" w14:textId="1CCED8D7" w:rsidR="00747BCF" w:rsidRDefault="00747BCF"/>
    <w:p w14:paraId="4661800E" w14:textId="4C65531F" w:rsidR="009B4B36" w:rsidRDefault="009B4B36">
      <w:r>
        <w:t xml:space="preserve">                                                                                                               ______________________________________</w:t>
      </w:r>
    </w:p>
    <w:p w14:paraId="6480EC50" w14:textId="40F6A290" w:rsidR="009B4B36" w:rsidRDefault="009B4B36"/>
    <w:p w14:paraId="50C73E8F" w14:textId="06B7E266" w:rsidR="009B4B36" w:rsidRDefault="009B4B36"/>
    <w:p w14:paraId="57750C7D" w14:textId="406D0268" w:rsidR="009B4B36" w:rsidRDefault="009B4B36"/>
    <w:p w14:paraId="3102384F" w14:textId="3D36F116" w:rsidR="009B4B36" w:rsidRDefault="009B4B36"/>
    <w:p w14:paraId="7FCBB048" w14:textId="4436AB73" w:rsidR="009B4B36" w:rsidRDefault="009B4B36"/>
    <w:p w14:paraId="005C26D5" w14:textId="6A4A7ADD" w:rsidR="009B4B36" w:rsidRDefault="009B4B36"/>
    <w:p w14:paraId="4658670C" w14:textId="48761BC3" w:rsidR="009B4B36" w:rsidRDefault="009B4B36"/>
    <w:p w14:paraId="7613F0F6" w14:textId="7610077F" w:rsidR="009B4B36" w:rsidRDefault="009B4B36"/>
    <w:p w14:paraId="5FFC9656" w14:textId="78203D2D" w:rsidR="009B4B36" w:rsidRDefault="009B4B36"/>
    <w:p w14:paraId="07D7E2AF" w14:textId="00200674" w:rsidR="009B4B36" w:rsidRDefault="009B4B36"/>
    <w:p w14:paraId="67A4506D" w14:textId="25AE5FF5" w:rsidR="009B4B36" w:rsidRDefault="009B4B36"/>
    <w:p w14:paraId="2DA4139F" w14:textId="0A917788" w:rsidR="009B4B36" w:rsidRDefault="009B4B36"/>
    <w:p w14:paraId="09A35BCD" w14:textId="77777777" w:rsidR="009B4B36" w:rsidRDefault="009B4B36"/>
    <w:p w14:paraId="521D744F" w14:textId="77777777" w:rsidR="00747BCF" w:rsidRDefault="00747BCF"/>
    <w:sectPr w:rsidR="00747BCF" w:rsidSect="00BC0846">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val="0"/>
        <w:iCs w:val="0"/>
        <w:smallCaps w:val="0"/>
        <w:strike w:val="0"/>
        <w:color w:val="212121"/>
        <w:spacing w:val="0"/>
        <w:w w:val="100"/>
        <w:position w:val="0"/>
        <w:sz w:val="21"/>
        <w:szCs w:val="21"/>
        <w:u w:val="none"/>
      </w:rPr>
    </w:lvl>
    <w:lvl w:ilvl="1">
      <w:start w:val="1"/>
      <w:numFmt w:val="bullet"/>
      <w:lvlText w:val="-"/>
      <w:lvlJc w:val="left"/>
      <w:rPr>
        <w:b w:val="0"/>
        <w:bCs w:val="0"/>
        <w:i w:val="0"/>
        <w:iCs w:val="0"/>
        <w:smallCaps w:val="0"/>
        <w:strike w:val="0"/>
        <w:color w:val="212121"/>
        <w:spacing w:val="0"/>
        <w:w w:val="100"/>
        <w:position w:val="0"/>
        <w:sz w:val="21"/>
        <w:szCs w:val="21"/>
        <w:u w:val="none"/>
      </w:rPr>
    </w:lvl>
    <w:lvl w:ilvl="2">
      <w:start w:val="1"/>
      <w:numFmt w:val="bullet"/>
      <w:lvlText w:val="-"/>
      <w:lvlJc w:val="left"/>
      <w:rPr>
        <w:b w:val="0"/>
        <w:bCs w:val="0"/>
        <w:i w:val="0"/>
        <w:iCs w:val="0"/>
        <w:smallCaps w:val="0"/>
        <w:strike w:val="0"/>
        <w:color w:val="212121"/>
        <w:spacing w:val="0"/>
        <w:w w:val="100"/>
        <w:position w:val="0"/>
        <w:sz w:val="21"/>
        <w:szCs w:val="21"/>
        <w:u w:val="none"/>
      </w:rPr>
    </w:lvl>
    <w:lvl w:ilvl="3">
      <w:start w:val="1"/>
      <w:numFmt w:val="bullet"/>
      <w:lvlText w:val="-"/>
      <w:lvlJc w:val="left"/>
      <w:rPr>
        <w:b w:val="0"/>
        <w:bCs w:val="0"/>
        <w:i w:val="0"/>
        <w:iCs w:val="0"/>
        <w:smallCaps w:val="0"/>
        <w:strike w:val="0"/>
        <w:color w:val="212121"/>
        <w:spacing w:val="0"/>
        <w:w w:val="100"/>
        <w:position w:val="0"/>
        <w:sz w:val="21"/>
        <w:szCs w:val="21"/>
        <w:u w:val="none"/>
      </w:rPr>
    </w:lvl>
    <w:lvl w:ilvl="4">
      <w:start w:val="1"/>
      <w:numFmt w:val="bullet"/>
      <w:lvlText w:val="-"/>
      <w:lvlJc w:val="left"/>
      <w:rPr>
        <w:b w:val="0"/>
        <w:bCs w:val="0"/>
        <w:i w:val="0"/>
        <w:iCs w:val="0"/>
        <w:smallCaps w:val="0"/>
        <w:strike w:val="0"/>
        <w:color w:val="212121"/>
        <w:spacing w:val="0"/>
        <w:w w:val="100"/>
        <w:position w:val="0"/>
        <w:sz w:val="21"/>
        <w:szCs w:val="21"/>
        <w:u w:val="none"/>
      </w:rPr>
    </w:lvl>
    <w:lvl w:ilvl="5">
      <w:start w:val="1"/>
      <w:numFmt w:val="bullet"/>
      <w:lvlText w:val="-"/>
      <w:lvlJc w:val="left"/>
      <w:rPr>
        <w:b w:val="0"/>
        <w:bCs w:val="0"/>
        <w:i w:val="0"/>
        <w:iCs w:val="0"/>
        <w:smallCaps w:val="0"/>
        <w:strike w:val="0"/>
        <w:color w:val="212121"/>
        <w:spacing w:val="0"/>
        <w:w w:val="100"/>
        <w:position w:val="0"/>
        <w:sz w:val="21"/>
        <w:szCs w:val="21"/>
        <w:u w:val="none"/>
      </w:rPr>
    </w:lvl>
    <w:lvl w:ilvl="6">
      <w:start w:val="1"/>
      <w:numFmt w:val="bullet"/>
      <w:lvlText w:val="-"/>
      <w:lvlJc w:val="left"/>
      <w:rPr>
        <w:b w:val="0"/>
        <w:bCs w:val="0"/>
        <w:i w:val="0"/>
        <w:iCs w:val="0"/>
        <w:smallCaps w:val="0"/>
        <w:strike w:val="0"/>
        <w:color w:val="212121"/>
        <w:spacing w:val="0"/>
        <w:w w:val="100"/>
        <w:position w:val="0"/>
        <w:sz w:val="21"/>
        <w:szCs w:val="21"/>
        <w:u w:val="none"/>
      </w:rPr>
    </w:lvl>
    <w:lvl w:ilvl="7">
      <w:start w:val="1"/>
      <w:numFmt w:val="bullet"/>
      <w:lvlText w:val="-"/>
      <w:lvlJc w:val="left"/>
      <w:rPr>
        <w:b w:val="0"/>
        <w:bCs w:val="0"/>
        <w:i w:val="0"/>
        <w:iCs w:val="0"/>
        <w:smallCaps w:val="0"/>
        <w:strike w:val="0"/>
        <w:color w:val="212121"/>
        <w:spacing w:val="0"/>
        <w:w w:val="100"/>
        <w:position w:val="0"/>
        <w:sz w:val="21"/>
        <w:szCs w:val="21"/>
        <w:u w:val="none"/>
      </w:rPr>
    </w:lvl>
    <w:lvl w:ilvl="8">
      <w:start w:val="1"/>
      <w:numFmt w:val="bullet"/>
      <w:lvlText w:val="-"/>
      <w:lvlJc w:val="left"/>
      <w:rPr>
        <w:b w:val="0"/>
        <w:bCs w:val="0"/>
        <w:i w:val="0"/>
        <w:iCs w:val="0"/>
        <w:smallCaps w:val="0"/>
        <w:strike w:val="0"/>
        <w:color w:val="212121"/>
        <w:spacing w:val="0"/>
        <w:w w:val="100"/>
        <w:position w:val="0"/>
        <w:sz w:val="21"/>
        <w:szCs w:val="21"/>
        <w:u w:val="none"/>
      </w:rPr>
    </w:lvl>
  </w:abstractNum>
  <w:num w:numId="1" w16cid:durableId="173153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CB"/>
    <w:rsid w:val="0001279F"/>
    <w:rsid w:val="002D7B00"/>
    <w:rsid w:val="00583933"/>
    <w:rsid w:val="00747BCF"/>
    <w:rsid w:val="00774C54"/>
    <w:rsid w:val="009B4B36"/>
    <w:rsid w:val="00BC0846"/>
    <w:rsid w:val="00D00FBA"/>
    <w:rsid w:val="00F1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C101"/>
  <w15:chartTrackingRefBased/>
  <w15:docId w15:val="{212287A7-6ABB-43C3-AAB6-EC699DF1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8F26-7945-47CE-8E9C-62517C2C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1410</Words>
  <Characters>8041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2022-08-12T11:49:00Z</cp:lastPrinted>
  <dcterms:created xsi:type="dcterms:W3CDTF">2022-08-12T11:22:00Z</dcterms:created>
  <dcterms:modified xsi:type="dcterms:W3CDTF">2022-08-12T11:50:00Z</dcterms:modified>
</cp:coreProperties>
</file>