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D09" w:rsidRDefault="00DF5D09">
      <w:pPr>
        <w:pStyle w:val="ConsPlusTitlePage"/>
      </w:pPr>
      <w:bookmarkStart w:id="0" w:name="_GoBack"/>
      <w:bookmarkEnd w:id="0"/>
      <w:r>
        <w:br/>
      </w:r>
    </w:p>
    <w:p w:rsidR="00DF5D09" w:rsidRDefault="00DF5D09">
      <w:pPr>
        <w:pStyle w:val="ConsPlusNormal"/>
        <w:jc w:val="both"/>
        <w:outlineLvl w:val="0"/>
      </w:pPr>
    </w:p>
    <w:p w:rsidR="00DF5D09" w:rsidRDefault="00DF5D09">
      <w:pPr>
        <w:pStyle w:val="ConsPlusNormal"/>
        <w:outlineLvl w:val="0"/>
      </w:pPr>
      <w:r>
        <w:t>Зарегистрировано в Минюсте РФ 8 мая 2001 г. N 2701</w:t>
      </w:r>
    </w:p>
    <w:p w:rsidR="00DF5D09" w:rsidRDefault="00DF5D0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5D09" w:rsidRDefault="00DF5D09">
      <w:pPr>
        <w:pStyle w:val="ConsPlusNormal"/>
        <w:jc w:val="center"/>
      </w:pPr>
    </w:p>
    <w:p w:rsidR="00DF5D09" w:rsidRDefault="00DF5D09">
      <w:pPr>
        <w:pStyle w:val="ConsPlusTitle"/>
        <w:jc w:val="center"/>
      </w:pPr>
      <w:r>
        <w:t>МИНИСТЕРСТВО ЗДРАВООХРАНЕНИЯ РОССИЙСКОЙ ФЕДЕРАЦИИ</w:t>
      </w:r>
    </w:p>
    <w:p w:rsidR="00DF5D09" w:rsidRDefault="00DF5D09">
      <w:pPr>
        <w:pStyle w:val="ConsPlusTitle"/>
        <w:jc w:val="center"/>
      </w:pPr>
    </w:p>
    <w:p w:rsidR="00DF5D09" w:rsidRDefault="00DF5D09">
      <w:pPr>
        <w:pStyle w:val="ConsPlusTitle"/>
        <w:jc w:val="center"/>
      </w:pPr>
      <w:r>
        <w:t>ПРИКАЗ</w:t>
      </w:r>
    </w:p>
    <w:p w:rsidR="00DF5D09" w:rsidRDefault="00DF5D09">
      <w:pPr>
        <w:pStyle w:val="ConsPlusTitle"/>
        <w:jc w:val="center"/>
      </w:pPr>
      <w:r>
        <w:t>от 10 апреля 2001 г. N 114</w:t>
      </w:r>
    </w:p>
    <w:p w:rsidR="00DF5D09" w:rsidRDefault="00DF5D09">
      <w:pPr>
        <w:pStyle w:val="ConsPlusTitle"/>
        <w:jc w:val="center"/>
      </w:pPr>
    </w:p>
    <w:p w:rsidR="00DF5D09" w:rsidRDefault="00DF5D09">
      <w:pPr>
        <w:pStyle w:val="ConsPlusTitle"/>
        <w:jc w:val="center"/>
      </w:pPr>
      <w:r>
        <w:t>О ВВЕДЕНИИ В ДЕЙСТВИЕ</w:t>
      </w:r>
    </w:p>
    <w:p w:rsidR="00DF5D09" w:rsidRDefault="00DF5D09">
      <w:pPr>
        <w:pStyle w:val="ConsPlusTitle"/>
        <w:jc w:val="center"/>
      </w:pPr>
      <w:r>
        <w:t>САНИТАРНО-ЭПИДЕМИОЛОГИЧЕСКИХ ПРАВИЛ И НОРМАТИВОВ</w:t>
      </w:r>
    </w:p>
    <w:p w:rsidR="00DF5D09" w:rsidRDefault="00DF5D09">
      <w:pPr>
        <w:pStyle w:val="ConsPlusTitle"/>
        <w:jc w:val="center"/>
      </w:pPr>
      <w:r>
        <w:t xml:space="preserve">"ГИГИЕНИЧЕСКИЕ ТРЕБОВАНИЯ К ОБЕСПЕЧЕНИЮ </w:t>
      </w:r>
      <w:proofErr w:type="gramStart"/>
      <w:r>
        <w:t>РАДИАЦИОННОЙ</w:t>
      </w:r>
      <w:proofErr w:type="gramEnd"/>
    </w:p>
    <w:p w:rsidR="00DF5D09" w:rsidRDefault="00DF5D09">
      <w:pPr>
        <w:pStyle w:val="ConsPlusTitle"/>
        <w:jc w:val="center"/>
      </w:pPr>
      <w:r>
        <w:t>БЕЗОПАСНОСТИ ПРИ ЗАГОТОВКЕ И РЕАЛИЗАЦИИ МЕТАЛЛОЛОМА"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санитарно-эпидемиологическом благополучии населения" от 30 марта 1999 г. N 52-ФЗ и в целях обеспечения радиационной безопасности при заготовке и реализации металлолома приказываю: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1. Ввести в действие утвержденные Главным государственным санитарным врачом Российской Федерации санитарно-эпидемиологические правила и нормативы </w:t>
      </w:r>
      <w:hyperlink w:anchor="P42" w:history="1">
        <w:r>
          <w:rPr>
            <w:color w:val="0000FF"/>
          </w:rPr>
          <w:t>"Гигиенические требования</w:t>
        </w:r>
      </w:hyperlink>
      <w:r>
        <w:t xml:space="preserve"> к обеспечению радиационной безопасности при заготовке и реализации металлолома. СанПиН 2.6.1.993-00".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настоящего Приказа возложить на Первого заместителя Министра, Главного государственного санитарного врача Российской Федерации Г.Г. Онищенко.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jc w:val="right"/>
      </w:pPr>
      <w:r>
        <w:t>Министр</w:t>
      </w:r>
    </w:p>
    <w:p w:rsidR="00DF5D09" w:rsidRDefault="00DF5D09">
      <w:pPr>
        <w:pStyle w:val="ConsPlusNormal"/>
        <w:jc w:val="right"/>
      </w:pPr>
      <w:r>
        <w:t>Ю.Л.ШЕВЧЕНКО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</w:pPr>
    </w:p>
    <w:p w:rsidR="00DF5D09" w:rsidRDefault="00DF5D09">
      <w:pPr>
        <w:pStyle w:val="ConsPlusNormal"/>
      </w:pPr>
    </w:p>
    <w:p w:rsidR="00DF5D09" w:rsidRDefault="00DF5D09">
      <w:pPr>
        <w:pStyle w:val="ConsPlusNormal"/>
      </w:pPr>
    </w:p>
    <w:p w:rsidR="00DF5D09" w:rsidRDefault="00DF5D09">
      <w:pPr>
        <w:pStyle w:val="ConsPlusNormal"/>
      </w:pPr>
    </w:p>
    <w:p w:rsidR="00DF5D09" w:rsidRDefault="00DF5D09">
      <w:pPr>
        <w:pStyle w:val="ConsPlusNormal"/>
        <w:jc w:val="right"/>
        <w:outlineLvl w:val="0"/>
      </w:pPr>
      <w:r>
        <w:t>Приложение</w:t>
      </w:r>
    </w:p>
    <w:p w:rsidR="00DF5D09" w:rsidRDefault="00DF5D09">
      <w:pPr>
        <w:pStyle w:val="ConsPlusNormal"/>
        <w:jc w:val="right"/>
      </w:pPr>
      <w:r>
        <w:t>к Приказу</w:t>
      </w:r>
    </w:p>
    <w:p w:rsidR="00DF5D09" w:rsidRDefault="00DF5D09">
      <w:pPr>
        <w:pStyle w:val="ConsPlusNormal"/>
        <w:jc w:val="right"/>
      </w:pPr>
      <w:r>
        <w:t>Минздрава России</w:t>
      </w:r>
    </w:p>
    <w:p w:rsidR="00DF5D09" w:rsidRDefault="00DF5D09">
      <w:pPr>
        <w:pStyle w:val="ConsPlusNormal"/>
        <w:jc w:val="right"/>
      </w:pPr>
      <w:r>
        <w:t>от 10.04.2001 N 114</w:t>
      </w:r>
    </w:p>
    <w:p w:rsidR="00DF5D09" w:rsidRDefault="00DF5D09">
      <w:pPr>
        <w:pStyle w:val="ConsPlusNormal"/>
        <w:jc w:val="right"/>
      </w:pPr>
    </w:p>
    <w:p w:rsidR="00DF5D09" w:rsidRDefault="00DF5D09">
      <w:pPr>
        <w:pStyle w:val="ConsPlusNormal"/>
        <w:jc w:val="right"/>
      </w:pPr>
      <w:r>
        <w:t>Утверждаю</w:t>
      </w:r>
    </w:p>
    <w:p w:rsidR="00DF5D09" w:rsidRDefault="00DF5D09">
      <w:pPr>
        <w:pStyle w:val="ConsPlusNormal"/>
        <w:jc w:val="right"/>
      </w:pPr>
      <w:r>
        <w:t>Главный государственный</w:t>
      </w:r>
    </w:p>
    <w:p w:rsidR="00DF5D09" w:rsidRDefault="00DF5D09">
      <w:pPr>
        <w:pStyle w:val="ConsPlusNormal"/>
        <w:jc w:val="right"/>
      </w:pPr>
      <w:r>
        <w:t>санитарный врач</w:t>
      </w:r>
    </w:p>
    <w:p w:rsidR="00DF5D09" w:rsidRDefault="00DF5D09">
      <w:pPr>
        <w:pStyle w:val="ConsPlusNormal"/>
        <w:jc w:val="right"/>
      </w:pPr>
      <w:r>
        <w:t>Российской Федерации -</w:t>
      </w:r>
    </w:p>
    <w:p w:rsidR="00DF5D09" w:rsidRDefault="00DF5D09">
      <w:pPr>
        <w:pStyle w:val="ConsPlusNormal"/>
        <w:jc w:val="right"/>
      </w:pPr>
      <w:r>
        <w:t>Первый заместитель</w:t>
      </w:r>
    </w:p>
    <w:p w:rsidR="00DF5D09" w:rsidRDefault="00DF5D09">
      <w:pPr>
        <w:pStyle w:val="ConsPlusNormal"/>
        <w:jc w:val="right"/>
      </w:pPr>
      <w:r>
        <w:t>Министра здравоохранения</w:t>
      </w:r>
    </w:p>
    <w:p w:rsidR="00DF5D09" w:rsidRDefault="00DF5D09">
      <w:pPr>
        <w:pStyle w:val="ConsPlusNormal"/>
        <w:jc w:val="right"/>
      </w:pPr>
      <w:r>
        <w:t>Российской Федерации</w:t>
      </w:r>
    </w:p>
    <w:p w:rsidR="00DF5D09" w:rsidRDefault="00DF5D09">
      <w:pPr>
        <w:pStyle w:val="ConsPlusNormal"/>
        <w:jc w:val="right"/>
      </w:pPr>
      <w:r>
        <w:t>Г.Г.ОНИЩЕНКО</w:t>
      </w:r>
    </w:p>
    <w:p w:rsidR="00DF5D09" w:rsidRDefault="00DF5D09">
      <w:pPr>
        <w:pStyle w:val="ConsPlusNormal"/>
        <w:jc w:val="right"/>
      </w:pPr>
      <w:r>
        <w:t>29 октября 2000 года</w:t>
      </w:r>
    </w:p>
    <w:p w:rsidR="00DF5D09" w:rsidRDefault="00DF5D09">
      <w:pPr>
        <w:pStyle w:val="ConsPlusNormal"/>
      </w:pPr>
    </w:p>
    <w:p w:rsidR="00DF5D09" w:rsidRDefault="00DF5D09">
      <w:pPr>
        <w:pStyle w:val="ConsPlusTitle"/>
        <w:jc w:val="center"/>
      </w:pPr>
      <w:r>
        <w:t>2.6.1. ИОНИЗИРУЮЩЕЕ ИЗЛУЧЕНИЕ, РАДИАЦИОННАЯ БЕЗОПАСНОСТЬ</w:t>
      </w:r>
    </w:p>
    <w:p w:rsidR="00DF5D09" w:rsidRDefault="00DF5D09">
      <w:pPr>
        <w:pStyle w:val="ConsPlusTitle"/>
        <w:jc w:val="center"/>
      </w:pPr>
    </w:p>
    <w:p w:rsidR="00DF5D09" w:rsidRDefault="00DF5D09">
      <w:pPr>
        <w:pStyle w:val="ConsPlusTitle"/>
        <w:jc w:val="center"/>
      </w:pPr>
      <w:bookmarkStart w:id="1" w:name="P42"/>
      <w:bookmarkEnd w:id="1"/>
      <w:r>
        <w:t>ГИГИЕНИЧЕСКИЕ ТРЕБОВАНИЯ</w:t>
      </w:r>
    </w:p>
    <w:p w:rsidR="00DF5D09" w:rsidRDefault="00DF5D09">
      <w:pPr>
        <w:pStyle w:val="ConsPlusTitle"/>
        <w:jc w:val="center"/>
      </w:pPr>
      <w:r>
        <w:t>К ОБЕСПЕЧЕНИЮ РАДИАЦИОННОЙ БЕЗОПАСНОСТИ ПРИ ЗАГОТОВКЕ</w:t>
      </w:r>
    </w:p>
    <w:p w:rsidR="00DF5D09" w:rsidRDefault="00DF5D09">
      <w:pPr>
        <w:pStyle w:val="ConsPlusTitle"/>
        <w:jc w:val="center"/>
      </w:pPr>
      <w:r>
        <w:lastRenderedPageBreak/>
        <w:t>И РЕАЛИЗАЦИИ МЕТАЛЛОЛОМА</w:t>
      </w:r>
    </w:p>
    <w:p w:rsidR="00DF5D09" w:rsidRDefault="00DF5D09">
      <w:pPr>
        <w:pStyle w:val="ConsPlusTitle"/>
        <w:jc w:val="center"/>
      </w:pPr>
    </w:p>
    <w:p w:rsidR="00DF5D09" w:rsidRDefault="00DF5D09">
      <w:pPr>
        <w:pStyle w:val="ConsPlusTitle"/>
        <w:jc w:val="center"/>
      </w:pPr>
      <w:r>
        <w:t>САНИТАРНО-ЭПИДЕМИОЛОГИЧЕСКИЕ ПРАВИЛА И НОРМАТИВЫ</w:t>
      </w:r>
    </w:p>
    <w:p w:rsidR="00DF5D09" w:rsidRDefault="00DF5D09">
      <w:pPr>
        <w:pStyle w:val="ConsPlusTitle"/>
        <w:jc w:val="center"/>
      </w:pPr>
      <w:r>
        <w:t>САНПИН 2.6.1.993-00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jc w:val="center"/>
        <w:outlineLvl w:val="1"/>
      </w:pPr>
      <w:r>
        <w:t>1. Область применения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ind w:firstLine="540"/>
        <w:jc w:val="both"/>
      </w:pPr>
      <w:r>
        <w:t>1.1. Настоящие санитарные правила (далее по тексту - правила) устанавливают требования по обеспечению радиационной безопасности населения при заготовке, реализации лома черных и цветных металлов и являются обязательными для выполнения индивидуальными предпринимателями и юридическими лицами, занимающимися данной деятельностью.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1.2. Правила регламентируют гигиенические требования к обеспечению радиационной безопасности при заготовке и реализации металлолома, включая организацию и проведение радиационного контроля металлолома, обследование транспортных средств (оборудования), предназначенных к разделке на металлолом, а также порядок оформления на них санитарно-эпидемиологического заключения.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1.3. Действие настоящих правил не распространяется на обращение с металлоломом, образующимся в результате утилизации конструкций и оборудования на предприятиях ядерно-топливного комплекса.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jc w:val="center"/>
        <w:outlineLvl w:val="1"/>
      </w:pPr>
      <w:r>
        <w:t>2. Нормативные ссылки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ind w:firstLine="540"/>
        <w:jc w:val="both"/>
      </w:pPr>
      <w:r>
        <w:t xml:space="preserve">2.1. Федеральный </w:t>
      </w:r>
      <w:hyperlink r:id="rId6" w:history="1">
        <w:r>
          <w:rPr>
            <w:color w:val="0000FF"/>
          </w:rPr>
          <w:t>закон</w:t>
        </w:r>
      </w:hyperlink>
      <w:r>
        <w:t xml:space="preserve"> "О радиационной безопасности населения" от 9 января 1996 г. N 3-ФЗ (Собрание законодательства Российской Федерации, 1996, N 3, ст. 141).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2.2. Федеральный </w:t>
      </w:r>
      <w:hyperlink r:id="rId7" w:history="1">
        <w:r>
          <w:rPr>
            <w:color w:val="0000FF"/>
          </w:rPr>
          <w:t>закон</w:t>
        </w:r>
      </w:hyperlink>
      <w:r>
        <w:t xml:space="preserve"> "О санитарно-эпидемиологическом благополучии населения" от 30 марта 1999 г. N 52-ФЗ (Собрание законодательства Российской Федерации, 1999, N 14, ст. 1650).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2.3. </w:t>
      </w:r>
      <w:hyperlink r:id="rId8" w:history="1">
        <w:r>
          <w:rPr>
            <w:color w:val="0000FF"/>
          </w:rPr>
          <w:t>Положение</w:t>
        </w:r>
      </w:hyperlink>
      <w:r>
        <w:t xml:space="preserve"> о государственном санитарно-эпидемиологическом нормировании, утвержденное Постановлением Правительства Российской Федерации от 24 июля 2000 года N 554.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2.4. </w:t>
      </w:r>
      <w:hyperlink r:id="rId9" w:history="1">
        <w:r>
          <w:rPr>
            <w:color w:val="0000FF"/>
          </w:rPr>
          <w:t>Положение</w:t>
        </w:r>
      </w:hyperlink>
      <w:r>
        <w:t xml:space="preserve"> о Государственной санитарно-эпидемиологической службе Российской Федерации, утвержденное Постановлением Правительства Российской Федерации от 24 июля 2000 года N 554.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2.5. </w:t>
      </w:r>
      <w:hyperlink r:id="rId10" w:history="1">
        <w:r>
          <w:rPr>
            <w:color w:val="0000FF"/>
          </w:rPr>
          <w:t>Положение</w:t>
        </w:r>
      </w:hyperlink>
      <w:r>
        <w:t xml:space="preserve"> о лицензировании деятельности по заготовке, переработке и реализации лома цветных и черных металлов, утвержденное Постановлением Правительства Российской Федерации от 15 июля 1999 г. N 822.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2.6. Нормы радиационной безопасности (НРБ-99). </w:t>
      </w:r>
      <w:hyperlink r:id="rId11" w:history="1">
        <w:r>
          <w:rPr>
            <w:color w:val="0000FF"/>
          </w:rPr>
          <w:t>СП 2.6.1.758-99.</w:t>
        </w:r>
      </w:hyperlink>
      <w:r>
        <w:t xml:space="preserve"> Не нуждаются в государственной регистрации (Письмо Минюста России от 29.07.99 N 6014-ЭР).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2.7. Основные санитарные правила обеспечения радиационной безопасности (ОСПОРБ-99). </w:t>
      </w:r>
      <w:hyperlink r:id="rId12" w:history="1">
        <w:r>
          <w:rPr>
            <w:color w:val="0000FF"/>
          </w:rPr>
          <w:t>СанПиН 2.6.1.799-99.</w:t>
        </w:r>
      </w:hyperlink>
      <w:r>
        <w:t xml:space="preserve"> Не нуждаются в государственной регистрации (Письмо Минюста России от 01.06.2000 N 4214-ЭР).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2.8.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Минздрава России от 20.07.98 N 217 "О гигиенической оценке производства, поставки и реализации продукции и товаров". Зарегистрирован в Минюсте России 07.08.98, регистрационный номер 1587.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jc w:val="center"/>
        <w:outlineLvl w:val="1"/>
      </w:pPr>
      <w:r>
        <w:t>3. Общие положения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ind w:firstLine="540"/>
        <w:jc w:val="both"/>
      </w:pPr>
      <w:r>
        <w:t xml:space="preserve">3.1. Настоящие санитарные правила вводятся в действие в целях обеспечения радиационной </w:t>
      </w:r>
      <w:r>
        <w:lastRenderedPageBreak/>
        <w:t xml:space="preserve">безопасности граждан и исключения </w:t>
      </w:r>
      <w:proofErr w:type="gramStart"/>
      <w:r>
        <w:t>возможности радиоактивного загрязнения среды обитания человека</w:t>
      </w:r>
      <w:proofErr w:type="gramEnd"/>
      <w:r>
        <w:t xml:space="preserve"> при заготовке и реализации металлолома.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3.2. Индивидуальные предприниматели и юридические лица, занимающиеся заготовкой и реализацией металлолома, в целях выявления радиоактивного загрязнения металлолома или наличия локальных источников ионизирующего излучения осуществляют его производственный радиационный контроль с использованием дозиметрических и радиометрических методов исследования.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3.3. </w:t>
      </w:r>
      <w:proofErr w:type="gramStart"/>
      <w:r>
        <w:t xml:space="preserve">При утилизации транспортных средств и установок (самолетов, вертолетов, кораблей, судов, железнодорожных вагонов, локомотивов, котлов, цистерн и т.д.), на которых могли быть стационарные или переносные приборы, аппараты и другое оборудование с источниками ионизирующего излучения, шкалы приборов с содержащими радионуклиды </w:t>
      </w:r>
      <w:proofErr w:type="spellStart"/>
      <w:r>
        <w:t>светосоставами</w:t>
      </w:r>
      <w:proofErr w:type="spellEnd"/>
      <w:r>
        <w:t xml:space="preserve"> постоянного действия, или осуществлялось хранение или транспортировка радиоактивных веществ, производственный радиационный контроль проводится перед разделкой их на металлолом.</w:t>
      </w:r>
      <w:proofErr w:type="gramEnd"/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3.4. Партия металлолома, ММЭД гамма-излучения вблизи поверхности которой (за вычетом вклада природного фона) не превышает 0,2 </w:t>
      </w:r>
      <w:proofErr w:type="spellStart"/>
      <w:r>
        <w:t>мкЗв</w:t>
      </w:r>
      <w:proofErr w:type="spellEnd"/>
      <w:r>
        <w:t>/час, не имеющая локальных источников и поверхностного загрязнения альф</w:t>
      </w:r>
      <w:proofErr w:type="gramStart"/>
      <w:r>
        <w:t>а-</w:t>
      </w:r>
      <w:proofErr w:type="gramEnd"/>
      <w:r>
        <w:t xml:space="preserve"> и бета-активными радионуклидами, допускается к использованию на территории Российской Федерации без каких-либо ограничений по радиационной безопасности. На нее оформляется санитарно-эпидемиологическое заключение.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3.5. К реализации (в том числе к переплавке на металлургических заводах) допускаются партии металлолома, имеющие соответствующее санитарно-эпидемиологическое заключение о соответствии ее требованиям настоящих правил.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3.6. При обнаружении металлолома, который по результатам радиационного контроля не может быть допущен к использованию без ограничения, организация, проводившая радиационный контроль, а также владелец металлолома своевременно информируют об этом орган госсанэпидслужбы Российской Федерации, на подконтрольной территории или объекте надзора которого находится металлолом. Дальнейшее обращение с ним должно проводиться по согласованию с этим органом госсанэпидслужбы, с учетом требований санитарных правил и норм.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3.7. Все обнаруженные в металлоломе локальные источники должны быть из него удалены. Извлечение из металлолома локальных источников, МЭД гамма-излучения на расстоянии 10 см от которых превышает 1 </w:t>
      </w:r>
      <w:proofErr w:type="spellStart"/>
      <w:r>
        <w:t>мкЗв</w:t>
      </w:r>
      <w:proofErr w:type="spellEnd"/>
      <w:r>
        <w:t>/ч или имеющих поверхностное радиоактивное загрязнение, может производиться только силами специализированной организации или специально подготовленными сотрудниками, отнесенными к персоналу группы</w:t>
      </w:r>
      <w:proofErr w:type="gramStart"/>
      <w:r>
        <w:t xml:space="preserve"> А</w:t>
      </w:r>
      <w:proofErr w:type="gramEnd"/>
      <w:r>
        <w:t xml:space="preserve"> по действующим нормам радиационной безопасности.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jc w:val="center"/>
        <w:outlineLvl w:val="1"/>
      </w:pPr>
      <w:r>
        <w:t>4. Радиационный контроль металлолома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ind w:firstLine="540"/>
        <w:jc w:val="both"/>
      </w:pPr>
      <w:r>
        <w:t>4.1. Радиационный контроль заготавливаемого на территории Российской Федерации и ввозимого на ее территорию металлолома осуществляется для своевременного обнаружения его радиоактивного загрязнения. Радиационный контроль металлолома проводится: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при приемке металлолома, в том числе на пунктах сбора металлолома;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при подготовке партии металлолома к реализации;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перед реализацией загруженных металлоломом транспортных средств.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4.2. В организациях, занимающихся заготовкой металлолома, проводится производственный радиационный контроль. Он осуществляется специальной службой или лицом, ответственным за производственный радиационный контроль, в соответствии со специально </w:t>
      </w:r>
      <w:r>
        <w:lastRenderedPageBreak/>
        <w:t>разработанным порядком. Производственному радиационному контролю подлежит весь поступающий в организацию металлолом.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4.3. Порядок проведения производственного радиационного контроля металлолома согласовывается с органами госсанэпидслужбы </w:t>
      </w:r>
      <w:hyperlink r:id="rId14" w:history="1">
        <w:r>
          <w:rPr>
            <w:color w:val="0000FF"/>
          </w:rPr>
          <w:t>(статья 11</w:t>
        </w:r>
      </w:hyperlink>
      <w:r>
        <w:t xml:space="preserve"> Федерального закона "О радиационной безопасности населения").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4.4. Площадки и помещения, предназначенные для размещения металлолома, перед началом их эксплуатации подлежат радиационному контролю с целью исключения радиоактивного загрязнения.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4.5. Производственный радиационный контроль металлолома проводится по уровню гамма-излучения и должен обеспечивать выявление в металлоломе локальных источников или его радиоактивного загрязнения гамма-излучающими радионуклидами. Для проведения производственного радиационного контроля металлолома могут использоваться как автоматические стационарные средства непрерывного радиационного контроля (ворота, стойки и т.п.), так и переносные средства радиационного контроля (</w:t>
      </w:r>
      <w:proofErr w:type="gramStart"/>
      <w:r>
        <w:t>гамма-дозиметры</w:t>
      </w:r>
      <w:proofErr w:type="gramEnd"/>
      <w:r>
        <w:t>, поисковые радиометры и т.п.) в зависимости от объема заготавливаемого металлолома.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4.6. Результаты производственного радиационного контроля заносятся в специальный журнал (рекомендуемое </w:t>
      </w:r>
      <w:hyperlink w:anchor="P171" w:history="1">
        <w:r>
          <w:rPr>
            <w:color w:val="0000FF"/>
          </w:rPr>
          <w:t>приложение 1),</w:t>
        </w:r>
      </w:hyperlink>
      <w:r>
        <w:t xml:space="preserve"> по результатам которого оформляются протоколы радиационного контроля на партию металлолома. Допускается вносить данные измерений в специальную графу журнала приемки металлолома.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4.7. Лица, осуществляющие производственный радиационный контроль металлолома, несут ответственность за своевременность, полноту и достоверность его осуществления в соответствии с законодательством Российской Федерации.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4.8. Радиационный контроль партии металлолома, подготовленной к реализации, а также загруженного металлоломом транспортного средства проводят аккредитованные в установленном порядке на право проведения соответствующих измерений лаборатории радиационного контроля (ЛРК). Результаты радиационного контроля партии металлолома оформляются протоколом измерений.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4.9. К контролируемым параметрам радиоактивного загрязнения партии металлолома относятся: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МЭД гамма-излучения;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- наличие поверхностного радиоактивного загрязнения </w:t>
      </w:r>
      <w:proofErr w:type="gramStart"/>
      <w:r>
        <w:t>альфа-активными</w:t>
      </w:r>
      <w:proofErr w:type="gramEnd"/>
      <w:r>
        <w:t xml:space="preserve"> радионуклидами;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- наличие поверхностного радиоактивного загрязнения </w:t>
      </w:r>
      <w:proofErr w:type="gramStart"/>
      <w:r>
        <w:t>бета-активными</w:t>
      </w:r>
      <w:proofErr w:type="gramEnd"/>
      <w:r>
        <w:t xml:space="preserve"> радионуклидами.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4.10. Перед погрузкой партии металлолома в транспортное средство проводится его радиационный контроль для проверки отсутствия локальных источников гамма-излучения, а также выборочная проверка отсутствия загрязнения альф</w:t>
      </w:r>
      <w:proofErr w:type="gramStart"/>
      <w:r>
        <w:t>а-</w:t>
      </w:r>
      <w:proofErr w:type="gramEnd"/>
      <w:r>
        <w:t xml:space="preserve"> и бета-активными радионуклидами.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4.11. Для партий металлолома, направляемых на экспорт либо следующих транзитом через территорию Российской Федерации, </w:t>
      </w:r>
      <w:proofErr w:type="gramStart"/>
      <w:r>
        <w:t>проводится</w:t>
      </w:r>
      <w:proofErr w:type="gramEnd"/>
      <w:r>
        <w:t xml:space="preserve"> измерение МЭД гамма-излучения на поверхности готовой к отправке транспортной единицы.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4.12. Выполнение настоящих санитарных правил при заготовке и реализации металлолома контролируют органы государственной санитарно-эпидемиологической службы Российской Федерации.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jc w:val="center"/>
        <w:outlineLvl w:val="1"/>
      </w:pPr>
      <w:r>
        <w:t>5. Радиационное обследование транспортных средств</w:t>
      </w:r>
    </w:p>
    <w:p w:rsidR="00DF5D09" w:rsidRDefault="00DF5D09">
      <w:pPr>
        <w:pStyle w:val="ConsPlusNormal"/>
        <w:jc w:val="center"/>
      </w:pPr>
      <w:r>
        <w:lastRenderedPageBreak/>
        <w:t xml:space="preserve">(оборудования), </w:t>
      </w:r>
      <w:proofErr w:type="gramStart"/>
      <w:r>
        <w:t>предназначенных</w:t>
      </w:r>
      <w:proofErr w:type="gramEnd"/>
      <w:r>
        <w:t xml:space="preserve"> для разделки</w:t>
      </w:r>
    </w:p>
    <w:p w:rsidR="00DF5D09" w:rsidRDefault="00DF5D09">
      <w:pPr>
        <w:pStyle w:val="ConsPlusNormal"/>
        <w:jc w:val="center"/>
      </w:pPr>
      <w:r>
        <w:t>на металлолом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ind w:firstLine="540"/>
        <w:jc w:val="both"/>
      </w:pPr>
      <w:r>
        <w:t>5.1. При проведении радиационного обследования транспортных средств (оборудования), предназначенных для разделки на металлолом, следует убедиться в отсутствии на них источников ионизирующего излучения и радиоактивного загрязнения.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5.2. </w:t>
      </w:r>
      <w:proofErr w:type="gramStart"/>
      <w:r>
        <w:t xml:space="preserve">Владелец транспортного средства (оборудования), предназначенного для разделки на металлолом, проводит демонтаж всех приборов, содержащих радиоактивные источники (датчики обледенения, разрядники систем зажигания двигателей и навигационных систем, радиоизотопные </w:t>
      </w:r>
      <w:proofErr w:type="spellStart"/>
      <w:r>
        <w:t>извещатели</w:t>
      </w:r>
      <w:proofErr w:type="spellEnd"/>
      <w:r>
        <w:t xml:space="preserve"> дыма, блоки детектирования корабельных дозиметрических установок, уровнемеры, плотномеры, другие радиоизотопные приборы, а также приборы со </w:t>
      </w:r>
      <w:proofErr w:type="spellStart"/>
      <w:r>
        <w:t>светосоставами</w:t>
      </w:r>
      <w:proofErr w:type="spellEnd"/>
      <w:r>
        <w:t xml:space="preserve"> постоянного действия).</w:t>
      </w:r>
      <w:proofErr w:type="gramEnd"/>
      <w:r>
        <w:t xml:space="preserve"> Необходимо убедиться и в отсутствии радиоактивного загрязнения объекта, которое могло произойти в процессе эксплуатации и демонтажа радиоактивных источников. При отсутствии владельца работы по демонтажу проводятся под контролем органа госсанэпидслужбы, на подконтрольной территории (объекте надзора) которого находится данное транспортное средство (оборудование).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5.3. Обследование транспортных средств (оборудования), предназначенных для разделки на металлолом, проводится организациями, аккредитованными в установленном порядке в данной области измерений.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5.4. При обнаружении в процессе радиационного контроля транспортных средств (оборудования) локальных источников или радиоактивного загрязнения его владелец и организация, проводившая радиационный контроль, обязаны своевременно оповестить об этом орган санитарно-эпидемиологической службы, на подконтрольной территории (объекте надзора) которой находится данное транспортное средство (оборудование). Дальнейшие работы по демонтажу источников или дезактивации должны проводиться под контролем органа госсанэпидслужбы в соответствии с требованиями настоящих правил </w:t>
      </w:r>
      <w:hyperlink w:anchor="P163" w:history="1">
        <w:r>
          <w:rPr>
            <w:color w:val="0000FF"/>
          </w:rPr>
          <w:t>(п. п. 8.2</w:t>
        </w:r>
      </w:hyperlink>
      <w:r>
        <w:t xml:space="preserve"> - </w:t>
      </w:r>
      <w:hyperlink w:anchor="P165" w:history="1">
        <w:r>
          <w:rPr>
            <w:color w:val="0000FF"/>
          </w:rPr>
          <w:t>8.4).</w:t>
        </w:r>
      </w:hyperlink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5.5. При обнаружении локальных источников или радиоактивного загрязнения транспортного средства (оборудования) его владельцу необходимо обеспечить безопасные для здоровья населения и среды обитания условия и способы хранения, обезвреживания, перемещения и захоронения обнаруженных источников в соответствии с действующими санитарными правилами. Ему следует выполнить все предписания органа госсанэпидслужбы, </w:t>
      </w:r>
      <w:proofErr w:type="gramStart"/>
      <w:r>
        <w:t>представить транспортное средство</w:t>
      </w:r>
      <w:proofErr w:type="gramEnd"/>
      <w:r>
        <w:t xml:space="preserve"> (оборудование) для повторного обследования, а также документы, подтверждающие выполнение предписанных мероприятий, в том числе протоколы измерений, проведенных ЛРК.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5.6. Транспортное средство (оборудование) допускается к разделке на металлолом на территории Российской Федерации без каких-либо ограничений по радиационной безопасности при отсутствии на нем источников ионизирующего излучения и радиоактивного загрязнения и при мощности дозы гамма-излучения (за вычетом вклада природного фона) на его поверхности не более 0,2 </w:t>
      </w:r>
      <w:proofErr w:type="spellStart"/>
      <w:r>
        <w:t>мкЗв</w:t>
      </w:r>
      <w:proofErr w:type="spellEnd"/>
      <w:r>
        <w:t>/ч. На данное транспортное средство (</w:t>
      </w:r>
      <w:proofErr w:type="gramStart"/>
      <w:r>
        <w:t xml:space="preserve">оборудование) </w:t>
      </w:r>
      <w:proofErr w:type="gramEnd"/>
      <w:r>
        <w:t>орган госсанэпидслужбы оформляет санитарно-эпидемиологическое заключение о соответствии его санитарным правилам.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jc w:val="center"/>
        <w:outlineLvl w:val="1"/>
      </w:pPr>
      <w:r>
        <w:t>6. Требования к методикам радиационного</w:t>
      </w:r>
    </w:p>
    <w:p w:rsidR="00DF5D09" w:rsidRDefault="00DF5D09">
      <w:pPr>
        <w:pStyle w:val="ConsPlusNormal"/>
        <w:jc w:val="center"/>
      </w:pPr>
      <w:r>
        <w:t>контроля металлолома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ind w:firstLine="540"/>
        <w:jc w:val="both"/>
      </w:pPr>
      <w:r>
        <w:t>6.1. Производственный радиационный контроль металлолома включает: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радиационный контроль всего поступающего в заготовительную организацию металлолома с целью выявления его радиоактивного загрязнения либо наличия в нем локальных источников гамма-излучения;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lastRenderedPageBreak/>
        <w:t>- измерение мощности дозы гамма-излучения при обнаружении превышения радиационного фона вблизи партии или фрагмента металлолома.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6.2. Методика производственного радиационного контроля должна обеспечивать: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- достоверное выявление случаев превышения уровней гамма-излучения вблизи поверхности партии металлолома над природным фоном более чем на 0,05 </w:t>
      </w:r>
      <w:proofErr w:type="spellStart"/>
      <w:r>
        <w:t>мкЗв</w:t>
      </w:r>
      <w:proofErr w:type="spellEnd"/>
      <w:r>
        <w:t>/ч;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- выявление всех находящихся в партии металлолома локальных источников, создающих МЭД гамма-излучения на расстоянии 10 см от поверхности партии (транспортного средства) более 0,2 </w:t>
      </w:r>
      <w:proofErr w:type="spellStart"/>
      <w:r>
        <w:t>мкЗв</w:t>
      </w:r>
      <w:proofErr w:type="spellEnd"/>
      <w:r>
        <w:t>/ч;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- гарантированное выявление всех содержащихся в партии металлолома локальных источников, создающих МЭД гамма-излучения на расстоянии 10 см от источника более 1 </w:t>
      </w:r>
      <w:proofErr w:type="spellStart"/>
      <w:r>
        <w:t>мкЗв</w:t>
      </w:r>
      <w:proofErr w:type="spellEnd"/>
      <w:r>
        <w:t>/ч.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6.3. Радиационный контроль партии металлолома, проводимый ЛРК, включает: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выявление в партии металлолома локальных источников гамма-излучения;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проведение измерений МЭД гамма-излучения на поверхности партии металлолома;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выборочную проверку наличия поверхностного загрязнения металлолома альф</w:t>
      </w:r>
      <w:proofErr w:type="gramStart"/>
      <w:r>
        <w:t>а-</w:t>
      </w:r>
      <w:proofErr w:type="gramEnd"/>
      <w:r>
        <w:t xml:space="preserve"> и бета-активными радионуклидами;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проведение радиационного обследования порожнего транспортного средства, предназначенного для перевозки партии металлолома, а также измерение МЭД гамма-излучения на поверхности загруженного транспортного средства.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6.4. Методика радиационного контроля партии металлолома, проводимого ЛРК, должна обеспечивать: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- достоверное определение наличия гамма-излучения содержащихся в металлоломе радионуклидов с доверительным значением нижней границы определения МЭД гамма-излучения (над естественным радиационным фоном) не более 0,05 </w:t>
      </w:r>
      <w:proofErr w:type="spellStart"/>
      <w:r>
        <w:t>мкЗв</w:t>
      </w:r>
      <w:proofErr w:type="spellEnd"/>
      <w:r>
        <w:t>/ч;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- выявление всех находящихся в партии металлолома локальных источников, создающих МЭД гамма-излучения на поверхности партии (транспортного средства) более 0,2 </w:t>
      </w:r>
      <w:proofErr w:type="spellStart"/>
      <w:r>
        <w:t>мкЗв</w:t>
      </w:r>
      <w:proofErr w:type="spellEnd"/>
      <w:r>
        <w:t>/ч (над природным фоном);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- гарантированное выявление всех содержащихся в партии металлолома локальных источников, создающих МЭД гамма-излучения на расстоянии 10 см от источника более 1 </w:t>
      </w:r>
      <w:proofErr w:type="spellStart"/>
      <w:r>
        <w:t>мкЗв</w:t>
      </w:r>
      <w:proofErr w:type="spellEnd"/>
      <w:r>
        <w:t>/ч;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достоверное выявление в местах проведения выборочных измерений наличия плотности потока альфа-излучения, превышающей 0,04 альфа-частицы/(см</w:t>
      </w:r>
      <w:proofErr w:type="gramStart"/>
      <w:r>
        <w:t>2</w:t>
      </w:r>
      <w:proofErr w:type="gramEnd"/>
      <w:r>
        <w:t xml:space="preserve"> х с);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достоверное выявление в местах проведения выборочных измерений наличия плотности потока бета-излучения, превышающей 0,4 бета-частицы/(см</w:t>
      </w:r>
      <w:proofErr w:type="gramStart"/>
      <w:r>
        <w:t>2</w:t>
      </w:r>
      <w:proofErr w:type="gramEnd"/>
      <w:r>
        <w:t xml:space="preserve"> х с).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jc w:val="center"/>
        <w:outlineLvl w:val="1"/>
      </w:pPr>
      <w:r>
        <w:t xml:space="preserve">7. Оформление и выдача </w:t>
      </w:r>
      <w:proofErr w:type="gramStart"/>
      <w:r>
        <w:t>санитарно-эпидемиологического</w:t>
      </w:r>
      <w:proofErr w:type="gramEnd"/>
    </w:p>
    <w:p w:rsidR="00DF5D09" w:rsidRDefault="00DF5D09">
      <w:pPr>
        <w:pStyle w:val="ConsPlusNormal"/>
        <w:jc w:val="center"/>
      </w:pPr>
      <w:r>
        <w:t>заключения на партию металлолома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ind w:firstLine="540"/>
        <w:jc w:val="both"/>
      </w:pPr>
      <w:r>
        <w:t>7.1. Санитарно-эпидемиологическое заключение на партию металлолома оформляется по результатам ее радиационного контроля.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7.2. Выдачу санитарно-эпидемиологического заключения на партию металлолома осуществляют учреждения госсанэпидслужбы Российской Федерации в соответствии с возложенными на них функциями: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lastRenderedPageBreak/>
        <w:t>- Департамент госсанэпиднадзора Минздрава России,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Федеральный центр госсанэпиднадзора Минздрава России,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центры госсанэпиднадзора в субъектах Российской Федерации,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центры госсанэпиднадзора в регионах на транспорте,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центры госсанэпиднадзора Федерального управления "</w:t>
      </w:r>
      <w:proofErr w:type="spellStart"/>
      <w:r>
        <w:t>Медбиоэкстрем</w:t>
      </w:r>
      <w:proofErr w:type="spellEnd"/>
      <w:r>
        <w:t>" при Минздраве России.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7.3. Санитарно-эпидемиологическое заключение на партию металлолома выдается для загруженной и готовой к отправке транспортной единицы или нескольких единиц, следующих как одно целое в адрес одного грузополучателя, на основе протоколов измерений, проведенных аккредитованными в установленном порядке ЛРК, и протокола измерений, оформленного на данную партию металлолома заготовительной организацией по результатам производственного радиационного контроля.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7.4. В санитарно-эпидемиологическом заключении на партию металлолома указываются: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номер санитарно-эпидемиологического заключения и дата его выдачи;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полное название и адрес организации, которой выдано санитарно-эпидемиологическое заключение;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номер контракта (договора) поставки металлолома, грузополучатель;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общее количество (масса) и вид металлолома, количество и идентификационные номера транспортных единиц (вагонов, контейнеров и т.п.), включенных в партию;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- полное название ЛРК, </w:t>
      </w:r>
      <w:proofErr w:type="gramStart"/>
      <w:r>
        <w:t>выполнявшей</w:t>
      </w:r>
      <w:proofErr w:type="gramEnd"/>
      <w:r>
        <w:t xml:space="preserve"> измерения, и учреждения госсанэпиднадзора, выдавшего санитарно-эпидемиологическое заключение;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номера протоколов и даты измерений, проведенных ЛРК при радиационном контроле партии металлолома;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значения контролируемых параметров (ММЭД гамма-излучения на поверхности партии металлолома, транспортной единицы, выявленные уровни радиоактивного загрязнения);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условия использования (транспортировки) партии металлолома.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7.5. Для получения санитарно-эпидемиологического заключения на партию металлолома индивидуальные предприниматели и юридические лица представляют в учреждение госсанэпиднадзора следующие документы: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заявку на проведение санитарно-эпидемиологической оценки партии металлолома;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копию лицензии на право деятельности по заготовке (переработке, реализации) металлолома;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протокол измерений, оформляемый на партию металлолома заготовительной организацией по результатам производственного радиационного контроля;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- протоко</w:t>
      </w:r>
      <w:proofErr w:type="gramStart"/>
      <w:r>
        <w:t>л(</w:t>
      </w:r>
      <w:proofErr w:type="gramEnd"/>
      <w:r>
        <w:t>ы) измерений аккредитованной в установленном порядке ЛРК.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7.6. Для оформления санитарно-эпидемиологического заключения на металлолом, поступающий с предприятий, использующих альфа и </w:t>
      </w:r>
      <w:proofErr w:type="gramStart"/>
      <w:r>
        <w:t>бета-активные</w:t>
      </w:r>
      <w:proofErr w:type="gramEnd"/>
      <w:r>
        <w:t xml:space="preserve"> радионуклиды или </w:t>
      </w:r>
      <w:r>
        <w:lastRenderedPageBreak/>
        <w:t>ускорители, создающие наведенную активность, необходимо представить протокол контроля наличия (отсутствия) альфа и бета-загрязнения металлолома.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7.7. Органы и учреждения государственной санитарно-эпидемиологической службы Российской Федерации выдают санитарно-эпидемиологические заключения в установленном порядке и несут ответственность за обоснованность их выдачи.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>7.8. Санитарно-эпидемиологическое заключение оформляется на бланках установленного образца с установленными степенями защиты и выдается на срок не более 5 лет.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jc w:val="center"/>
        <w:outlineLvl w:val="1"/>
      </w:pPr>
      <w:r>
        <w:t>8. Радиационная безопасность при заготовке</w:t>
      </w:r>
    </w:p>
    <w:p w:rsidR="00DF5D09" w:rsidRDefault="00DF5D09">
      <w:pPr>
        <w:pStyle w:val="ConsPlusNormal"/>
        <w:jc w:val="center"/>
      </w:pPr>
      <w:r>
        <w:t>и реализации металлолома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ind w:firstLine="540"/>
        <w:jc w:val="both"/>
      </w:pPr>
      <w:r>
        <w:t xml:space="preserve">8.1. </w:t>
      </w:r>
      <w:proofErr w:type="gramStart"/>
      <w:r>
        <w:t>При обнаружении металлолома, который по результатам радиационного контроля не может быть допущен к использованию без ограничений, организация, проводившая радиационный контроль, и владелец металлолома обязаны проинформировать орган госсанэпидслужбы, на подконтрольной территории (подконтрольном объекте) которого находится металлолом.</w:t>
      </w:r>
      <w:proofErr w:type="gramEnd"/>
      <w:r>
        <w:t xml:space="preserve"> Дальнейшее обращение с металлоломом должно проводиться по согласованию с органом госсанэпидслужбы.</w:t>
      </w:r>
    </w:p>
    <w:p w:rsidR="00DF5D09" w:rsidRDefault="00DF5D09">
      <w:pPr>
        <w:pStyle w:val="ConsPlusNormal"/>
        <w:spacing w:before="220"/>
        <w:ind w:firstLine="540"/>
        <w:jc w:val="both"/>
      </w:pPr>
      <w:bookmarkStart w:id="2" w:name="P163"/>
      <w:bookmarkEnd w:id="2"/>
      <w:r>
        <w:t>8.2. При обнаружении в составе партии металлолома радиоактивного загрязнения или локальных источников их идентификация, изъятие и последующее обращение с ними (хранение, транспортировка, захоронение и т.д.) должны проводиться специализированной организацией или подготовленными специалистами, отнесенными к персоналу группы</w:t>
      </w:r>
      <w:proofErr w:type="gramStart"/>
      <w:r>
        <w:t xml:space="preserve"> А</w:t>
      </w:r>
      <w:proofErr w:type="gramEnd"/>
      <w:r>
        <w:t xml:space="preserve">, в соответствии с требованиями </w:t>
      </w:r>
      <w:hyperlink r:id="rId15" w:history="1">
        <w:r>
          <w:rPr>
            <w:color w:val="0000FF"/>
          </w:rPr>
          <w:t>НРБ-99</w:t>
        </w:r>
      </w:hyperlink>
      <w:r>
        <w:t xml:space="preserve"> и </w:t>
      </w:r>
      <w:hyperlink r:id="rId16" w:history="1">
        <w:r>
          <w:rPr>
            <w:color w:val="0000FF"/>
          </w:rPr>
          <w:t>ОСПОРБ-99</w:t>
        </w:r>
      </w:hyperlink>
      <w:r>
        <w:t xml:space="preserve"> по согласованию с органом госсанэпидслужбы, на подконтрольной территории (подконтрольном объекте) которого находится металлолом.</w:t>
      </w:r>
    </w:p>
    <w:p w:rsidR="00DF5D09" w:rsidRDefault="00DF5D09">
      <w:pPr>
        <w:pStyle w:val="ConsPlusNormal"/>
        <w:spacing w:before="220"/>
        <w:ind w:firstLine="540"/>
        <w:jc w:val="both"/>
      </w:pPr>
      <w:r>
        <w:t xml:space="preserve">8.3. При обнаружении в процессе радиационного контроля металлолома значений МЭД гамма-излучения на его поверхности более 1 </w:t>
      </w:r>
      <w:proofErr w:type="spellStart"/>
      <w:r>
        <w:t>мкЗв</w:t>
      </w:r>
      <w:proofErr w:type="spellEnd"/>
      <w:r>
        <w:t xml:space="preserve">/ч лица, проводившие радиационный контроль, должны немедленно прекратить дальнейшие работы и проинформировать об этом руководство ЛРК (заготовительной организации) и орган госсанэпидслужбы, на подконтрольной территории (подконтрольном объекте) которого находится металлолом. Руководство ЛРК (заготовительной организации) должно принять меры к ограничению доступа посторонних лиц в зону с повышенным уровнем гамма-излучения (более 0,1 </w:t>
      </w:r>
      <w:proofErr w:type="spellStart"/>
      <w:r>
        <w:t>мкЗв</w:t>
      </w:r>
      <w:proofErr w:type="spellEnd"/>
      <w:r>
        <w:t>/ч над природным фоном) и дальнейшие действия проводить по согласованию с органом госсанэпидслужбы в соответствии с требованиями санитарных правил по обеспечению радиационной безопасности.</w:t>
      </w:r>
    </w:p>
    <w:p w:rsidR="00DF5D09" w:rsidRDefault="00DF5D09">
      <w:pPr>
        <w:pStyle w:val="ConsPlusNormal"/>
        <w:spacing w:before="220"/>
        <w:ind w:firstLine="540"/>
        <w:jc w:val="both"/>
      </w:pPr>
      <w:bookmarkStart w:id="3" w:name="P165"/>
      <w:bookmarkEnd w:id="3"/>
      <w:r>
        <w:t xml:space="preserve">8.4. Извлеченные из партии металлолома локальные источники могут, по согласованию с органом госсанэпидслужбы, помещаться для временного хранения в металлические контейнеры, расположенные в специально предназначенных для этого помещениях, обеспечивающих их сохранность и исключающих возможность несанкционированного доступа к ним посторонних лиц. МЭД гамма-излучения (за вычетом природного фона) на внешней поверхности стен помещения, в котором размещается контейнер с извлеченными локальными источниками, не должна превышать 0,1 </w:t>
      </w:r>
      <w:proofErr w:type="spellStart"/>
      <w:r>
        <w:t>мкЗв</w:t>
      </w:r>
      <w:proofErr w:type="spellEnd"/>
      <w:r>
        <w:t>/ч. Порядок хранения и захоронения локальных источников согласовывается с органом госсанэпидслужбы.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</w:pPr>
    </w:p>
    <w:p w:rsidR="00DF5D09" w:rsidRDefault="00DF5D09">
      <w:pPr>
        <w:pStyle w:val="ConsPlusNormal"/>
      </w:pPr>
    </w:p>
    <w:p w:rsidR="00DF5D09" w:rsidRDefault="00DF5D09">
      <w:pPr>
        <w:pStyle w:val="ConsPlusNormal"/>
      </w:pPr>
    </w:p>
    <w:p w:rsidR="00DF5D09" w:rsidRDefault="00DF5D09">
      <w:pPr>
        <w:pStyle w:val="ConsPlusNormal"/>
      </w:pPr>
    </w:p>
    <w:p w:rsidR="00DF5D09" w:rsidRDefault="00DF5D09">
      <w:pPr>
        <w:pStyle w:val="ConsPlusNormal"/>
        <w:jc w:val="right"/>
        <w:outlineLvl w:val="1"/>
      </w:pPr>
      <w:bookmarkStart w:id="4" w:name="P171"/>
      <w:bookmarkEnd w:id="4"/>
      <w:r>
        <w:t>Приложение 1</w:t>
      </w:r>
    </w:p>
    <w:p w:rsidR="00DF5D09" w:rsidRDefault="00DF5D09">
      <w:pPr>
        <w:pStyle w:val="ConsPlusNormal"/>
      </w:pPr>
    </w:p>
    <w:p w:rsidR="00DF5D09" w:rsidRDefault="00DF5D09">
      <w:pPr>
        <w:pStyle w:val="ConsPlusNonformat"/>
        <w:jc w:val="both"/>
      </w:pPr>
      <w:r>
        <w:t xml:space="preserve">          Рекомендуемая форма журнала производственного</w:t>
      </w:r>
    </w:p>
    <w:p w:rsidR="00DF5D09" w:rsidRDefault="00DF5D09">
      <w:pPr>
        <w:pStyle w:val="ConsPlusNonformat"/>
        <w:jc w:val="both"/>
      </w:pPr>
      <w:r>
        <w:t xml:space="preserve">               радиационного контроля металлолома</w:t>
      </w:r>
    </w:p>
    <w:p w:rsidR="00DF5D09" w:rsidRDefault="00DF5D09">
      <w:pPr>
        <w:pStyle w:val="ConsPlusNonformat"/>
        <w:jc w:val="both"/>
      </w:pPr>
    </w:p>
    <w:p w:rsidR="00DF5D09" w:rsidRDefault="00DF5D09">
      <w:pPr>
        <w:pStyle w:val="ConsPlusNonformat"/>
        <w:jc w:val="both"/>
      </w:pPr>
      <w:r>
        <w:lastRenderedPageBreak/>
        <w:t xml:space="preserve">                             ЖУРНАЛ</w:t>
      </w:r>
    </w:p>
    <w:p w:rsidR="00DF5D09" w:rsidRDefault="00DF5D09">
      <w:pPr>
        <w:pStyle w:val="ConsPlusNonformat"/>
        <w:jc w:val="both"/>
      </w:pPr>
      <w:r>
        <w:t xml:space="preserve">      ПРОИЗВОДСТВЕННОГО РАДИАЦИОННОГО КОНТРОЛЯ МЕТАЛЛОЛОМА</w:t>
      </w:r>
    </w:p>
    <w:p w:rsidR="00DF5D09" w:rsidRDefault="00DF5D09">
      <w:pPr>
        <w:pStyle w:val="ConsPlusNonformat"/>
        <w:jc w:val="both"/>
      </w:pPr>
    </w:p>
    <w:p w:rsidR="00DF5D09" w:rsidRDefault="00DF5D09">
      <w:pPr>
        <w:pStyle w:val="ConsPlusNonformat"/>
        <w:jc w:val="both"/>
      </w:pPr>
      <w:r>
        <w:t>Название предприятия _____________________________________________</w:t>
      </w:r>
    </w:p>
    <w:p w:rsidR="00DF5D09" w:rsidRDefault="00DF5D09">
      <w:pPr>
        <w:pStyle w:val="ConsPlusNonformat"/>
        <w:jc w:val="both"/>
      </w:pPr>
      <w:r>
        <w:t>Адрес, телефон ___________________________________________________</w:t>
      </w:r>
    </w:p>
    <w:p w:rsidR="00DF5D09" w:rsidRDefault="00DF5D09">
      <w:pPr>
        <w:pStyle w:val="ConsPlusNonformat"/>
        <w:jc w:val="both"/>
      </w:pPr>
      <w:r>
        <w:t xml:space="preserve">Фамилия, имя,   отчество   и  должность  лица,  ответственного  </w:t>
      </w:r>
      <w:proofErr w:type="gramStart"/>
      <w:r>
        <w:t>за</w:t>
      </w:r>
      <w:proofErr w:type="gramEnd"/>
    </w:p>
    <w:p w:rsidR="00DF5D09" w:rsidRDefault="00DF5D09">
      <w:pPr>
        <w:pStyle w:val="ConsPlusNonformat"/>
        <w:jc w:val="both"/>
      </w:pPr>
      <w:r>
        <w:t>радиационный контроль ____________________________________________</w:t>
      </w:r>
    </w:p>
    <w:p w:rsidR="00DF5D09" w:rsidRDefault="00DF5D09">
      <w:pPr>
        <w:pStyle w:val="ConsPlusNonformat"/>
        <w:jc w:val="both"/>
      </w:pPr>
    </w:p>
    <w:p w:rsidR="00DF5D09" w:rsidRDefault="00DF5D09">
      <w:pPr>
        <w:pStyle w:val="ConsPlusNonformat"/>
        <w:jc w:val="both"/>
      </w:pPr>
      <w:r>
        <w:t>Журнал начат "__" _______________ 200_ г.</w:t>
      </w:r>
    </w:p>
    <w:p w:rsidR="00DF5D09" w:rsidRDefault="00DF5D09">
      <w:pPr>
        <w:pStyle w:val="ConsPlusNonformat"/>
        <w:jc w:val="both"/>
      </w:pPr>
    </w:p>
    <w:p w:rsidR="00DF5D09" w:rsidRDefault="00DF5D09">
      <w:pPr>
        <w:pStyle w:val="ConsPlusNonformat"/>
        <w:jc w:val="both"/>
      </w:pPr>
      <w:r>
        <w:t>Журнал окончен "__" _______________ 200_ г.</w:t>
      </w:r>
    </w:p>
    <w:p w:rsidR="00DF5D09" w:rsidRDefault="00DF5D09">
      <w:pPr>
        <w:pStyle w:val="ConsPlusNormal"/>
      </w:pPr>
    </w:p>
    <w:p w:rsidR="00DF5D09" w:rsidRDefault="00DF5D09">
      <w:pPr>
        <w:pStyle w:val="ConsPlusNormal"/>
        <w:jc w:val="right"/>
      </w:pPr>
      <w:r>
        <w:t>Количество страниц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648"/>
        <w:gridCol w:w="1080"/>
        <w:gridCol w:w="648"/>
        <w:gridCol w:w="1080"/>
        <w:gridCol w:w="1188"/>
        <w:gridCol w:w="864"/>
        <w:gridCol w:w="972"/>
        <w:gridCol w:w="1080"/>
        <w:gridCol w:w="1296"/>
      </w:tblGrid>
      <w:tr w:rsidR="00DF5D09">
        <w:trPr>
          <w:trHeight w:val="240"/>
        </w:trPr>
        <w:tc>
          <w:tcPr>
            <w:tcW w:w="540" w:type="dxa"/>
            <w:vMerge w:val="restart"/>
          </w:tcPr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 N </w:t>
            </w:r>
          </w:p>
          <w:p w:rsidR="00DF5D09" w:rsidRDefault="00DF5D09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>/п</w:t>
            </w:r>
          </w:p>
        </w:tc>
        <w:tc>
          <w:tcPr>
            <w:tcW w:w="648" w:type="dxa"/>
            <w:vMerge w:val="restart"/>
          </w:tcPr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>Дата</w:t>
            </w:r>
          </w:p>
        </w:tc>
        <w:tc>
          <w:tcPr>
            <w:tcW w:w="1080" w:type="dxa"/>
            <w:vMerge w:val="restart"/>
          </w:tcPr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Наимено</w:t>
            </w:r>
            <w:proofErr w:type="spellEnd"/>
            <w:r>
              <w:rPr>
                <w:sz w:val="18"/>
              </w:rPr>
              <w:t>-</w:t>
            </w:r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вание</w:t>
            </w:r>
            <w:proofErr w:type="spellEnd"/>
            <w:r>
              <w:rPr>
                <w:sz w:val="18"/>
              </w:rPr>
              <w:t xml:space="preserve">  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посту- 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пившего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метал-  </w:t>
            </w:r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лолома</w:t>
            </w:r>
            <w:proofErr w:type="spellEnd"/>
            <w:r>
              <w:rPr>
                <w:sz w:val="18"/>
              </w:rPr>
              <w:t xml:space="preserve">,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коли-   </w:t>
            </w:r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чество</w:t>
            </w:r>
            <w:proofErr w:type="spellEnd"/>
            <w:r>
              <w:rPr>
                <w:sz w:val="18"/>
              </w:rPr>
              <w:t xml:space="preserve"> 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кг</w:t>
            </w:r>
            <w:proofErr w:type="gramEnd"/>
            <w:r>
              <w:rPr>
                <w:sz w:val="18"/>
              </w:rPr>
              <w:t xml:space="preserve">)    </w:t>
            </w:r>
          </w:p>
        </w:tc>
        <w:tc>
          <w:tcPr>
            <w:tcW w:w="648" w:type="dxa"/>
            <w:vMerge w:val="restart"/>
          </w:tcPr>
          <w:p w:rsidR="00DF5D09" w:rsidRDefault="00DF5D09">
            <w:pPr>
              <w:pStyle w:val="ConsPlusNonformat"/>
              <w:jc w:val="both"/>
            </w:pPr>
            <w:proofErr w:type="spellStart"/>
            <w:proofErr w:type="gramStart"/>
            <w:r>
              <w:rPr>
                <w:sz w:val="18"/>
              </w:rPr>
              <w:t>Пос</w:t>
            </w:r>
            <w:proofErr w:type="spellEnd"/>
            <w:proofErr w:type="gramEnd"/>
            <w:r>
              <w:rPr>
                <w:sz w:val="18"/>
              </w:rPr>
              <w:t>-</w:t>
            </w:r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тав</w:t>
            </w:r>
            <w:proofErr w:type="spellEnd"/>
            <w:r>
              <w:rPr>
                <w:sz w:val="18"/>
              </w:rPr>
              <w:t>-</w:t>
            </w:r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щик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080" w:type="dxa"/>
            <w:vMerge w:val="restart"/>
          </w:tcPr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Номер и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дата   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приход-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ной    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наклад- </w:t>
            </w:r>
          </w:p>
          <w:p w:rsidR="00DF5D09" w:rsidRDefault="00DF5D09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>ной (или</w:t>
            </w:r>
            <w:proofErr w:type="gramEnd"/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др. до- </w:t>
            </w:r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кументов</w:t>
            </w:r>
            <w:proofErr w:type="spellEnd"/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>на груз)</w:t>
            </w:r>
          </w:p>
        </w:tc>
        <w:tc>
          <w:tcPr>
            <w:tcW w:w="1188" w:type="dxa"/>
            <w:vMerge w:val="restart"/>
          </w:tcPr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Приборы,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приме-   </w:t>
            </w:r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нявшиеся</w:t>
            </w:r>
            <w:proofErr w:type="spellEnd"/>
            <w:r>
              <w:rPr>
                <w:sz w:val="18"/>
              </w:rPr>
              <w:t xml:space="preserve">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при про- </w:t>
            </w:r>
          </w:p>
          <w:p w:rsidR="00DF5D09" w:rsidRDefault="00DF5D09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>ведении</w:t>
            </w:r>
            <w:proofErr w:type="gramEnd"/>
            <w:r>
              <w:rPr>
                <w:sz w:val="18"/>
              </w:rPr>
              <w:t xml:space="preserve"> 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>измерений</w:t>
            </w:r>
          </w:p>
          <w:p w:rsidR="00DF5D09" w:rsidRDefault="00DF5D09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наимено</w:t>
            </w:r>
            <w:proofErr w:type="spellEnd"/>
            <w:r>
              <w:rPr>
                <w:sz w:val="18"/>
              </w:rPr>
              <w:t>-</w:t>
            </w:r>
            <w:proofErr w:type="gramEnd"/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вание</w:t>
            </w:r>
            <w:proofErr w:type="spellEnd"/>
            <w:r>
              <w:rPr>
                <w:sz w:val="18"/>
              </w:rPr>
              <w:t xml:space="preserve">,  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зав.    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номер)   </w:t>
            </w:r>
          </w:p>
        </w:tc>
        <w:tc>
          <w:tcPr>
            <w:tcW w:w="4212" w:type="dxa"/>
            <w:gridSpan w:val="4"/>
          </w:tcPr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 Результаты радиационного контроля</w:t>
            </w:r>
          </w:p>
        </w:tc>
      </w:tr>
      <w:tr w:rsidR="00DF5D09">
        <w:tc>
          <w:tcPr>
            <w:tcW w:w="432" w:type="dxa"/>
            <w:vMerge/>
            <w:tcBorders>
              <w:top w:val="nil"/>
            </w:tcBorders>
          </w:tcPr>
          <w:p w:rsidR="00DF5D09" w:rsidRDefault="00DF5D09"/>
        </w:tc>
        <w:tc>
          <w:tcPr>
            <w:tcW w:w="540" w:type="dxa"/>
            <w:vMerge/>
            <w:tcBorders>
              <w:top w:val="nil"/>
            </w:tcBorders>
          </w:tcPr>
          <w:p w:rsidR="00DF5D09" w:rsidRDefault="00DF5D09"/>
        </w:tc>
        <w:tc>
          <w:tcPr>
            <w:tcW w:w="972" w:type="dxa"/>
            <w:vMerge/>
            <w:tcBorders>
              <w:top w:val="nil"/>
            </w:tcBorders>
          </w:tcPr>
          <w:p w:rsidR="00DF5D09" w:rsidRDefault="00DF5D09"/>
        </w:tc>
        <w:tc>
          <w:tcPr>
            <w:tcW w:w="540" w:type="dxa"/>
            <w:vMerge/>
            <w:tcBorders>
              <w:top w:val="nil"/>
            </w:tcBorders>
          </w:tcPr>
          <w:p w:rsidR="00DF5D09" w:rsidRDefault="00DF5D09"/>
        </w:tc>
        <w:tc>
          <w:tcPr>
            <w:tcW w:w="972" w:type="dxa"/>
            <w:vMerge/>
            <w:tcBorders>
              <w:top w:val="nil"/>
            </w:tcBorders>
          </w:tcPr>
          <w:p w:rsidR="00DF5D09" w:rsidRDefault="00DF5D09"/>
        </w:tc>
        <w:tc>
          <w:tcPr>
            <w:tcW w:w="1080" w:type="dxa"/>
            <w:vMerge/>
            <w:tcBorders>
              <w:top w:val="nil"/>
            </w:tcBorders>
          </w:tcPr>
          <w:p w:rsidR="00DF5D09" w:rsidRDefault="00DF5D09"/>
        </w:tc>
        <w:tc>
          <w:tcPr>
            <w:tcW w:w="864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Фоно-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вые   </w:t>
            </w:r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значе</w:t>
            </w:r>
            <w:proofErr w:type="spellEnd"/>
            <w:r>
              <w:rPr>
                <w:sz w:val="18"/>
              </w:rPr>
              <w:t>-</w:t>
            </w:r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z w:val="18"/>
              </w:rPr>
              <w:t xml:space="preserve">   </w:t>
            </w:r>
          </w:p>
        </w:tc>
        <w:tc>
          <w:tcPr>
            <w:tcW w:w="972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>Наличие</w:t>
            </w:r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превы</w:t>
            </w:r>
            <w:proofErr w:type="spellEnd"/>
            <w:r>
              <w:rPr>
                <w:sz w:val="18"/>
              </w:rPr>
              <w:t xml:space="preserve">- </w:t>
            </w:r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шения</w:t>
            </w:r>
            <w:proofErr w:type="spellEnd"/>
            <w:r>
              <w:rPr>
                <w:sz w:val="18"/>
              </w:rPr>
              <w:t xml:space="preserve"> 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над </w:t>
            </w:r>
            <w:proofErr w:type="spellStart"/>
            <w:r>
              <w:rPr>
                <w:sz w:val="18"/>
              </w:rPr>
              <w:t>фо</w:t>
            </w:r>
            <w:proofErr w:type="spellEnd"/>
            <w:r>
              <w:rPr>
                <w:sz w:val="18"/>
              </w:rPr>
              <w:t>-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ном </w:t>
            </w:r>
            <w:proofErr w:type="gramStart"/>
            <w:r>
              <w:rPr>
                <w:sz w:val="18"/>
              </w:rPr>
              <w:t>на</w:t>
            </w:r>
            <w:proofErr w:type="gramEnd"/>
            <w:r>
              <w:rPr>
                <w:sz w:val="18"/>
              </w:rPr>
              <w:t xml:space="preserve">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>поверх-</w:t>
            </w:r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ности</w:t>
            </w:r>
            <w:proofErr w:type="spellEnd"/>
            <w:r>
              <w:rPr>
                <w:sz w:val="18"/>
              </w:rPr>
              <w:t xml:space="preserve"> 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посту-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>пившего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метал- </w:t>
            </w:r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лолома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ММЭД на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поверх- </w:t>
            </w:r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ности</w:t>
            </w:r>
            <w:proofErr w:type="spellEnd"/>
            <w:r>
              <w:rPr>
                <w:sz w:val="18"/>
              </w:rPr>
              <w:t xml:space="preserve">  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посту- 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пившего </w:t>
            </w:r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металло</w:t>
            </w:r>
            <w:proofErr w:type="spellEnd"/>
            <w:r>
              <w:rPr>
                <w:sz w:val="18"/>
              </w:rPr>
              <w:t>-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лома    </w:t>
            </w:r>
          </w:p>
        </w:tc>
        <w:tc>
          <w:tcPr>
            <w:tcW w:w="1296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Подпись  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лица, </w:t>
            </w:r>
            <w:proofErr w:type="gramStart"/>
            <w:r>
              <w:rPr>
                <w:sz w:val="18"/>
              </w:rPr>
              <w:t>про</w:t>
            </w:r>
            <w:proofErr w:type="gramEnd"/>
            <w:r>
              <w:rPr>
                <w:sz w:val="18"/>
              </w:rPr>
              <w:t>-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водившего </w:t>
            </w:r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радиацион</w:t>
            </w:r>
            <w:proofErr w:type="spellEnd"/>
            <w:r>
              <w:rPr>
                <w:sz w:val="18"/>
              </w:rPr>
              <w:t>-</w:t>
            </w:r>
          </w:p>
          <w:p w:rsidR="00DF5D09" w:rsidRDefault="00DF5D09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ный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конт</w:t>
            </w:r>
            <w:proofErr w:type="spellEnd"/>
            <w:r>
              <w:rPr>
                <w:sz w:val="18"/>
              </w:rPr>
              <w:t xml:space="preserve">- </w:t>
            </w:r>
          </w:p>
          <w:p w:rsidR="00DF5D09" w:rsidRDefault="00DF5D09">
            <w:pPr>
              <w:pStyle w:val="ConsPlusNonformat"/>
              <w:jc w:val="both"/>
            </w:pPr>
            <w:r>
              <w:rPr>
                <w:sz w:val="18"/>
              </w:rPr>
              <w:t xml:space="preserve">роль      </w:t>
            </w:r>
          </w:p>
        </w:tc>
      </w:tr>
      <w:tr w:rsidR="00DF5D09">
        <w:trPr>
          <w:trHeight w:val="240"/>
        </w:trPr>
        <w:tc>
          <w:tcPr>
            <w:tcW w:w="54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64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64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18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864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972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</w:tr>
      <w:tr w:rsidR="00DF5D09">
        <w:trPr>
          <w:trHeight w:val="240"/>
        </w:trPr>
        <w:tc>
          <w:tcPr>
            <w:tcW w:w="54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64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64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18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864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972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</w:tr>
      <w:tr w:rsidR="00DF5D09">
        <w:trPr>
          <w:trHeight w:val="240"/>
        </w:trPr>
        <w:tc>
          <w:tcPr>
            <w:tcW w:w="54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64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64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18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864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972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</w:tr>
      <w:tr w:rsidR="00DF5D09">
        <w:trPr>
          <w:trHeight w:val="240"/>
        </w:trPr>
        <w:tc>
          <w:tcPr>
            <w:tcW w:w="54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64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64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18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864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972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</w:tr>
      <w:tr w:rsidR="00DF5D09">
        <w:trPr>
          <w:trHeight w:val="240"/>
        </w:trPr>
        <w:tc>
          <w:tcPr>
            <w:tcW w:w="54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64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64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18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864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972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</w:tr>
      <w:tr w:rsidR="00DF5D09">
        <w:trPr>
          <w:trHeight w:val="240"/>
        </w:trPr>
        <w:tc>
          <w:tcPr>
            <w:tcW w:w="54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64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64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18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864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972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</w:tr>
      <w:tr w:rsidR="00DF5D09">
        <w:trPr>
          <w:trHeight w:val="240"/>
        </w:trPr>
        <w:tc>
          <w:tcPr>
            <w:tcW w:w="54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64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64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188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864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972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  <w:tc>
          <w:tcPr>
            <w:tcW w:w="1296" w:type="dxa"/>
            <w:tcBorders>
              <w:top w:val="nil"/>
            </w:tcBorders>
          </w:tcPr>
          <w:p w:rsidR="00DF5D09" w:rsidRDefault="00DF5D09">
            <w:pPr>
              <w:pStyle w:val="ConsPlusNonformat"/>
              <w:jc w:val="both"/>
            </w:pPr>
          </w:p>
        </w:tc>
      </w:tr>
    </w:tbl>
    <w:p w:rsidR="00DF5D09" w:rsidRDefault="00DF5D09">
      <w:pPr>
        <w:pStyle w:val="ConsPlusNormal"/>
      </w:pPr>
    </w:p>
    <w:p w:rsidR="00DF5D09" w:rsidRDefault="00DF5D09">
      <w:pPr>
        <w:pStyle w:val="ConsPlusNormal"/>
      </w:pPr>
    </w:p>
    <w:p w:rsidR="00DF5D09" w:rsidRDefault="00DF5D0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0074" w:rsidRDefault="00DF5D09"/>
    <w:sectPr w:rsidR="00290074" w:rsidSect="00147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D09"/>
    <w:rsid w:val="00020B15"/>
    <w:rsid w:val="00DF5D09"/>
    <w:rsid w:val="00F3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D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5D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5D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5D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D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5D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5D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5D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A80A561228AF4DB880CDE19CBA5EE70A461A5CAD7F85785DC146CD03BAA28ABD1F25DA74252513FC92979BB8FD8B411FF9E998F065E21D68N" TargetMode="External"/><Relationship Id="rId13" Type="http://schemas.openxmlformats.org/officeDocument/2006/relationships/hyperlink" Target="consultantplus://offline/ref=F3A80A561228AF4DB880CDE19CBA5EE70D471A5FAB7F85785DC146CD03BAA298BD4729D87D3A2616E9C4C6DE1E64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3A80A561228AF4DB880CDE19CBA5EE70D4A1B59AC76D87255984ACF04B5FD9DBA5629DB74242714F5CD928EA9A5844A08E7ED82EC67E3D01F6FN" TargetMode="External"/><Relationship Id="rId12" Type="http://schemas.openxmlformats.org/officeDocument/2006/relationships/hyperlink" Target="consultantplus://offline/ref=F3A80A561228AF4DB880CDE19CBA5EE7064A1D5EA97F85785DC146CD03BAA28ABD1F25DA74242617FC92979BB8FD8B411FF9E998F065E21D68N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3A80A561228AF4DB880CDE19CBA5EE7064A1D5EA97F85785DC146CD03BAA28ABD1F25DA74242616FC92979BB8FD8B411FF9E998F065E21D68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3A80A561228AF4DB880CDE19CBA5EE70E421A58A370D87255984ACF04B5FD9DBA5629DB7424261AF6CD928EA9A5844A08E7ED82EC67E3D01F6FN" TargetMode="External"/><Relationship Id="rId11" Type="http://schemas.openxmlformats.org/officeDocument/2006/relationships/hyperlink" Target="consultantplus://offline/ref=F3A80A561228AF4DB880CEF485BA5EE70E41155AAA7F85785DC146CD03BAA28ABD1F25DA74242617FC92979BB8FD8B411FF9E998F065E21D68N" TargetMode="External"/><Relationship Id="rId5" Type="http://schemas.openxmlformats.org/officeDocument/2006/relationships/hyperlink" Target="consultantplus://offline/ref=F3A80A561228AF4DB880CDE19CBA5EE70D4A1B59AC76D87255984ACF04B5FD9DBA5629DB74242416F0CD928EA9A5844A08E7ED82EC67E3D01F6FN" TargetMode="External"/><Relationship Id="rId15" Type="http://schemas.openxmlformats.org/officeDocument/2006/relationships/hyperlink" Target="consultantplus://offline/ref=F3A80A561228AF4DB880CEF485BA5EE70E41155AAA7F85785DC146CD03BAA28ABD1F25DA74242616FC92979BB8FD8B411FF9E998F065E21D68N" TargetMode="External"/><Relationship Id="rId10" Type="http://schemas.openxmlformats.org/officeDocument/2006/relationships/hyperlink" Target="consultantplus://offline/ref=F3A80A561228AF4DB880CDE19CBA5EE70D45155EAA7F85785DC146CD03BAA28ABD1F25DA74242713FC92979BB8FD8B411FF9E998F065E21D68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3A80A561228AF4DB880CDE19CBA5EE70A43195CA87F85785DC146CD03BAA28ABD1F25DA74242117FC92979BB8FD8B411FF9E998F065E21D68N" TargetMode="External"/><Relationship Id="rId14" Type="http://schemas.openxmlformats.org/officeDocument/2006/relationships/hyperlink" Target="consultantplus://offline/ref=F3A80A561228AF4DB880CDE19CBA5EE70E421A58A370D87255984ACF04B5FD9DBA5629DB7424261BF4CD928EA9A5844A08E7ED82EC67E3D01F6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3696</Words>
  <Characters>21071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2019-04-29T13:58:00Z</dcterms:created>
  <dcterms:modified xsi:type="dcterms:W3CDTF">2019-04-29T13:59:00Z</dcterms:modified>
</cp:coreProperties>
</file>