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W w:w="9503" w:type="dxa"/>
        <w:tblInd w:w="-1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41"/>
        <w:gridCol w:w="4662"/>
      </w:tblGrid>
      <w:tr w14:paraId="60AA5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94" w:hRule="atLeast"/>
        </w:trPr>
        <w:tc>
          <w:tcPr>
            <w:tcW w:w="4841" w:type="dxa"/>
          </w:tcPr>
          <w:p w14:paraId="51D6FFFF">
            <w:pPr>
              <w:spacing w:after="0" w:line="240" w:lineRule="auto"/>
              <w:rPr>
                <w:rFonts w:ascii="Times New Roman" w:hAnsi="Times New Roman" w:eastAsia="Times New Roman" w:cs="Times New Roman"/>
                <w:sz w:val="28"/>
                <w:szCs w:val="28"/>
                <w:lang w:eastAsia="ru-RU"/>
              </w:rPr>
            </w:pPr>
          </w:p>
        </w:tc>
        <w:tc>
          <w:tcPr>
            <w:tcW w:w="4662" w:type="dxa"/>
          </w:tcPr>
          <w:p w14:paraId="122CAAF1">
            <w:pPr>
              <w:spacing w:after="0" w:line="240" w:lineRule="auto"/>
              <w:ind w:left="-9" w:firstLine="9"/>
              <w:jc w:val="right"/>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Приложение к</w:t>
            </w:r>
            <w:r>
              <w:rPr>
                <w:rFonts w:hint="default" w:ascii="Times New Roman" w:hAnsi="Times New Roman" w:eastAsia="Times New Roman" w:cs="Times New Roman"/>
                <w:sz w:val="28"/>
                <w:szCs w:val="28"/>
                <w:lang w:val="en-US" w:eastAsia="ru-RU"/>
              </w:rPr>
              <w:t xml:space="preserve"> </w:t>
            </w:r>
            <w:bookmarkStart w:id="21" w:name="_GoBack"/>
            <w:bookmarkEnd w:id="21"/>
            <w:r>
              <w:rPr>
                <w:rFonts w:ascii="Times New Roman" w:hAnsi="Times New Roman" w:eastAsia="Times New Roman" w:cs="Times New Roman"/>
                <w:sz w:val="28"/>
                <w:szCs w:val="28"/>
                <w:lang w:eastAsia="ru-RU"/>
              </w:rPr>
              <w:t>проекту</w:t>
            </w:r>
            <w:r>
              <w:rPr>
                <w:rFonts w:hint="default" w:ascii="Times New Roman" w:hAnsi="Times New Roman" w:eastAsia="Times New Roman" w:cs="Times New Roman"/>
                <w:sz w:val="28"/>
                <w:szCs w:val="28"/>
                <w:lang w:val="en-US" w:eastAsia="ru-RU"/>
              </w:rPr>
              <w:t xml:space="preserve"> </w:t>
            </w:r>
            <w:r>
              <w:rPr>
                <w:rFonts w:ascii="Times New Roman" w:hAnsi="Times New Roman" w:eastAsia="Times New Roman" w:cs="Times New Roman"/>
                <w:sz w:val="28"/>
                <w:szCs w:val="28"/>
                <w:lang w:eastAsia="ru-RU"/>
              </w:rPr>
              <w:t>приказа</w:t>
            </w:r>
          </w:p>
          <w:p w14:paraId="601D4DDE">
            <w:pPr>
              <w:spacing w:after="0" w:line="240" w:lineRule="auto"/>
              <w:ind w:left="-9" w:firstLine="9"/>
              <w:jc w:val="right"/>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министра промышленности, предпринимательства и торговли Кировской области </w:t>
            </w:r>
          </w:p>
          <w:p w14:paraId="5F412160">
            <w:pPr>
              <w:autoSpaceDE w:val="0"/>
              <w:autoSpaceDN w:val="0"/>
              <w:adjustRightInd w:val="0"/>
              <w:spacing w:after="0" w:line="240" w:lineRule="auto"/>
              <w:ind w:left="20" w:firstLine="16"/>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от </w:t>
            </w:r>
            <w:r>
              <w:rPr>
                <w:rFonts w:hint="default" w:ascii="Times New Roman" w:hAnsi="Times New Roman" w:eastAsia="Times New Roman" w:cs="Times New Roman"/>
                <w:sz w:val="28"/>
                <w:szCs w:val="28"/>
                <w:lang w:val="en-US" w:eastAsia="ru-RU"/>
              </w:rPr>
              <w:t xml:space="preserve">                  </w:t>
            </w:r>
            <w:r>
              <w:rPr>
                <w:rFonts w:ascii="Times New Roman" w:hAnsi="Times New Roman" w:eastAsia="Times New Roman" w:cs="Times New Roman"/>
                <w:sz w:val="28"/>
                <w:szCs w:val="28"/>
                <w:lang w:eastAsia="ru-RU"/>
              </w:rPr>
              <w:t xml:space="preserve"> №</w:t>
            </w:r>
            <w:r>
              <w:rPr>
                <w:rFonts w:hint="default" w:ascii="Times New Roman" w:hAnsi="Times New Roman" w:eastAsia="Times New Roman" w:cs="Times New Roman"/>
                <w:sz w:val="28"/>
                <w:szCs w:val="28"/>
                <w:lang w:val="en-US" w:eastAsia="ru-RU"/>
              </w:rPr>
              <w:t xml:space="preserve">       </w:t>
            </w:r>
            <w:r>
              <w:rPr>
                <w:rFonts w:ascii="Times New Roman" w:hAnsi="Times New Roman" w:eastAsia="Times New Roman" w:cs="Times New Roman"/>
                <w:sz w:val="28"/>
                <w:szCs w:val="28"/>
                <w:lang w:eastAsia="ru-RU"/>
              </w:rPr>
              <w:t>- ПР</w:t>
            </w:r>
          </w:p>
        </w:tc>
      </w:tr>
      <w:tr w14:paraId="41F42C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94" w:hRule="atLeast"/>
        </w:trPr>
        <w:tc>
          <w:tcPr>
            <w:tcW w:w="4841" w:type="dxa"/>
          </w:tcPr>
          <w:p w14:paraId="1A2E434D">
            <w:pPr>
              <w:spacing w:after="0" w:line="240" w:lineRule="auto"/>
              <w:rPr>
                <w:rFonts w:ascii="Times New Roman" w:hAnsi="Times New Roman" w:eastAsia="Times New Roman" w:cs="Times New Roman"/>
                <w:sz w:val="28"/>
                <w:szCs w:val="28"/>
                <w:lang w:eastAsia="ru-RU"/>
              </w:rPr>
            </w:pPr>
          </w:p>
        </w:tc>
        <w:tc>
          <w:tcPr>
            <w:tcW w:w="4662" w:type="dxa"/>
          </w:tcPr>
          <w:p w14:paraId="490C6BC5">
            <w:pPr>
              <w:spacing w:after="0" w:line="240" w:lineRule="auto"/>
              <w:ind w:left="-9" w:firstLine="9"/>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Приложение</w:t>
            </w:r>
          </w:p>
          <w:p w14:paraId="7C8F4778">
            <w:pPr>
              <w:spacing w:after="0" w:line="240" w:lineRule="auto"/>
              <w:ind w:left="-9" w:firstLine="9"/>
              <w:jc w:val="center"/>
              <w:rPr>
                <w:rFonts w:ascii="Times New Roman" w:hAnsi="Times New Roman" w:eastAsia="Times New Roman" w:cs="Times New Roman"/>
                <w:sz w:val="28"/>
                <w:szCs w:val="28"/>
                <w:lang w:eastAsia="ru-RU"/>
              </w:rPr>
            </w:pPr>
          </w:p>
          <w:p w14:paraId="1FB5BDCF">
            <w:pPr>
              <w:spacing w:after="0" w:line="240" w:lineRule="auto"/>
              <w:ind w:left="-9" w:firstLine="9"/>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УТВЕРЖДЕНЫ</w:t>
            </w:r>
          </w:p>
          <w:p w14:paraId="117B77D8">
            <w:pPr>
              <w:tabs>
                <w:tab w:val="left" w:pos="5040"/>
              </w:tabs>
              <w:autoSpaceDE w:val="0"/>
              <w:autoSpaceDN w:val="0"/>
              <w:adjustRightInd w:val="0"/>
              <w:spacing w:after="0" w:line="240" w:lineRule="auto"/>
              <w:ind w:left="162" w:hanging="126"/>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приказом министерства промышленности, предпринимательства и торговли Кировской области </w:t>
            </w:r>
          </w:p>
          <w:p w14:paraId="7BD8A9BA">
            <w:pPr>
              <w:autoSpaceDE w:val="0"/>
              <w:autoSpaceDN w:val="0"/>
              <w:adjustRightInd w:val="0"/>
              <w:spacing w:after="0" w:line="240" w:lineRule="auto"/>
              <w:ind w:left="20" w:firstLine="16"/>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от 28.02.2022 № 31-ПР</w:t>
            </w:r>
          </w:p>
        </w:tc>
      </w:tr>
    </w:tbl>
    <w:p w14:paraId="472C0F5C">
      <w:pPr>
        <w:spacing w:after="0" w:line="240" w:lineRule="auto"/>
        <w:ind w:left="5387"/>
        <w:rPr>
          <w:rFonts w:ascii="Times New Roman" w:hAnsi="Times New Roman" w:eastAsia="Times New Roman" w:cs="Times New Roman"/>
          <w:sz w:val="28"/>
          <w:szCs w:val="28"/>
          <w:lang w:eastAsia="ru-RU"/>
        </w:rPr>
      </w:pPr>
    </w:p>
    <w:p w14:paraId="527661D1">
      <w:pPr>
        <w:spacing w:after="0" w:line="240" w:lineRule="auto"/>
        <w:ind w:left="5387"/>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w:t>
      </w:r>
    </w:p>
    <w:p w14:paraId="22936D0A">
      <w:pPr>
        <w:pStyle w:val="8"/>
        <w:ind w:firstLine="709"/>
        <w:jc w:val="center"/>
        <w:rPr>
          <w:rFonts w:ascii="Times New Roman" w:hAnsi="Times New Roman" w:cs="Times New Roman"/>
          <w:b/>
          <w:sz w:val="28"/>
          <w:szCs w:val="28"/>
        </w:rPr>
      </w:pPr>
      <w:r>
        <w:rPr>
          <w:rFonts w:ascii="Times New Roman" w:hAnsi="Times New Roman" w:cs="Times New Roman"/>
          <w:b/>
          <w:sz w:val="28"/>
          <w:szCs w:val="28"/>
        </w:rPr>
        <w:t xml:space="preserve">НОРМАТИВНЫЕ ЗАТРАТЫ </w:t>
      </w:r>
    </w:p>
    <w:p w14:paraId="0CCADFE5">
      <w:pPr>
        <w:pStyle w:val="8"/>
        <w:spacing w:line="276" w:lineRule="auto"/>
        <w:ind w:firstLine="709"/>
        <w:jc w:val="center"/>
        <w:rPr>
          <w:rFonts w:ascii="Times New Roman" w:hAnsi="Times New Roman" w:cs="Times New Roman"/>
          <w:b/>
          <w:sz w:val="28"/>
          <w:szCs w:val="28"/>
        </w:rPr>
      </w:pPr>
      <w:r>
        <w:rPr>
          <w:rFonts w:ascii="Times New Roman" w:hAnsi="Times New Roman" w:cs="Times New Roman"/>
          <w:b/>
          <w:sz w:val="28"/>
          <w:szCs w:val="28"/>
        </w:rPr>
        <w:t>на обеспечение функций министерства промышленности, предпринимательства и торговли Кировской области и подведомственного ему областного государственного казенного учреждения</w:t>
      </w:r>
    </w:p>
    <w:p w14:paraId="5DFBFDB3">
      <w:pPr>
        <w:pStyle w:val="8"/>
        <w:ind w:firstLine="709"/>
        <w:jc w:val="center"/>
        <w:rPr>
          <w:rFonts w:ascii="Times New Roman" w:hAnsi="Times New Roman" w:cs="Times New Roman"/>
          <w:sz w:val="28"/>
          <w:szCs w:val="28"/>
        </w:rPr>
      </w:pPr>
    </w:p>
    <w:p w14:paraId="2740ADFF">
      <w:pPr>
        <w:pStyle w:val="8"/>
        <w:spacing w:line="36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Настоящее приложение устанавливает нормативы количества и цены товаров, работ, услуг с учетом категорий и (или) групп должностей работников  на обеспечение функций министерства промышленности, предпринимательства и торговли Кировской области и подведомственного ему </w:t>
      </w:r>
      <w:bookmarkStart w:id="0" w:name="_Hlk65747276"/>
      <w:r>
        <w:rPr>
          <w:rFonts w:ascii="Times New Roman" w:hAnsi="Times New Roman" w:cs="Times New Roman"/>
          <w:sz w:val="28"/>
          <w:szCs w:val="28"/>
        </w:rPr>
        <w:t>Кировского областного государственного казенного учреждения «Агентство инвестиционного развития Кировской области»</w:t>
      </w:r>
      <w:bookmarkEnd w:id="0"/>
      <w:r>
        <w:rPr>
          <w:rFonts w:ascii="Times New Roman" w:hAnsi="Times New Roman" w:cs="Times New Roman"/>
          <w:sz w:val="28"/>
          <w:szCs w:val="28"/>
        </w:rPr>
        <w:t xml:space="preserve"> (далее – нормативные затраты), а также порядок расчета нормативных затрат, для которых Правилами определения нормативных затрат на обеспечение функций государственных органов Кировской области, органа управления Кировского областного территориального фонда обязательного медицинского страхования (включая соответственно территориальные органы и подведомственные казенные учреждения) (далее – Правила) , утвержденными постановлением Правительства Кировской области от 30.12.2014 № 19/278, не установлен порядок расчета.   </w:t>
      </w:r>
    </w:p>
    <w:p w14:paraId="739628A9">
      <w:pPr>
        <w:pStyle w:val="8"/>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Количество планируемых к приобретению товаров (основных средств и материальных запасов) определяется с учетом фактического наличия количества товаров, учитываемых на соответствующих балансах у министерства, подведомственного ему учреждения.</w:t>
      </w:r>
    </w:p>
    <w:p w14:paraId="57CA0D18">
      <w:pPr>
        <w:pStyle w:val="8"/>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отношении товаров, относящихся к основным средствам, устанавливаются сроки их полезного использования в соответствии с требованиями законодательства Российской Федерации о бухгалтерском учете или исходя из срока их фактического использования, определяемого в соответствии с требованиями законодательства Российской Федерации о бухгалтерском учете.   </w:t>
      </w:r>
    </w:p>
    <w:p w14:paraId="775FCDAD">
      <w:pPr>
        <w:pStyle w:val="8"/>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 Затраты на информационно-коммуникационные технологии:</w:t>
      </w:r>
    </w:p>
    <w:p w14:paraId="31624EF9">
      <w:pPr>
        <w:pStyle w:val="8"/>
        <w:spacing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1.1. Затраты на услуги связи, в том числе:</w:t>
      </w:r>
    </w:p>
    <w:p w14:paraId="237C7A4E">
      <w:pPr>
        <w:pStyle w:val="8"/>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1.1.1. Затраты на абонентскую плату </w:t>
      </w:r>
      <w:r>
        <w:rPr>
          <w:rFonts w:ascii="Times New Roman" w:hAnsi="Times New Roman" w:cs="Times New Roman"/>
          <w:position w:val="-12"/>
          <w:sz w:val="28"/>
          <w:szCs w:val="28"/>
        </w:rPr>
        <w:drawing>
          <wp:inline distT="0" distB="0" distL="0" distR="0">
            <wp:extent cx="371475" cy="257175"/>
            <wp:effectExtent l="0" t="0" r="0" b="0"/>
            <wp:docPr id="341" name="Рисунок 18" descr="base_23792_85543_440"/>
            <wp:cNvGraphicFramePr/>
            <a:graphic xmlns:a="http://schemas.openxmlformats.org/drawingml/2006/main">
              <a:graphicData uri="http://schemas.openxmlformats.org/drawingml/2006/picture">
                <pic:pic xmlns:pic="http://schemas.openxmlformats.org/drawingml/2006/picture">
                  <pic:nvPicPr>
                    <pic:cNvPr id="341" name="Рисунок 18" descr="base_23792_85543_440"/>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796CBFA0">
      <w:pPr>
        <w:pStyle w:val="8"/>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m:rPr/>
                <w:rPr>
                  <w:rFonts w:ascii="Cambria Math" w:hAnsi="Cambria Math" w:cs="Times New Roman"/>
                  <w:sz w:val="28"/>
                  <w:szCs w:val="28"/>
                </w:rPr>
                <m:t>З</m:t>
              </m:r>
              <m:ctrlPr>
                <w:rPr>
                  <w:rFonts w:ascii="Cambria Math" w:hAnsi="Cambria Math" w:cs="Times New Roman"/>
                  <w:i/>
                  <w:sz w:val="28"/>
                  <w:szCs w:val="28"/>
                </w:rPr>
              </m:ctrlPr>
            </m:e>
            <m:sub>
              <m:r>
                <m:rPr/>
                <w:rPr>
                  <w:rFonts w:ascii="Cambria Math" w:hAnsi="Cambria Math" w:cs="Times New Roman"/>
                  <w:sz w:val="28"/>
                  <w:szCs w:val="28"/>
                </w:rPr>
                <m:t>аб</m:t>
              </m:r>
              <m:ctrlPr>
                <w:rPr>
                  <w:rFonts w:ascii="Cambria Math" w:hAnsi="Cambria Math" w:cs="Times New Roman"/>
                  <w:i/>
                  <w:sz w:val="28"/>
                  <w:szCs w:val="28"/>
                </w:rPr>
              </m:ctrlPr>
            </m:sub>
          </m:sSub>
          <m:r>
            <m:rPr>
              <m:lit/>
            </m:rPr>
            <w:rPr>
              <w:rFonts w:ascii="Cambria Math" w:hAnsi="Cambria Math" w:cs="Times New Roman"/>
              <w:sz w:val="28"/>
              <w:szCs w:val="28"/>
            </w:rPr>
            <m:t>=</m:t>
          </m:r>
          <m:nary>
            <m:naryPr>
              <m:chr m:val="∑"/>
              <m:limLoc m:val="undOvr"/>
              <m:ctrlPr>
                <w:rPr>
                  <w:rFonts w:ascii="Cambria Math" w:hAnsi="Cambria Math" w:cs="Times New Roman"/>
                  <w:i/>
                  <w:sz w:val="28"/>
                  <w:szCs w:val="28"/>
                </w:rPr>
              </m:ctrlPr>
            </m:naryPr>
            <m:sub>
              <m:r>
                <m:rPr>
                  <m:sty m:val="bi"/>
                </m:rPr>
                <w:rPr>
                  <w:rFonts w:ascii="Cambria Math" w:hAnsi="Cambria Math" w:cs="Times New Roman"/>
                  <w:sz w:val="28"/>
                  <w:szCs w:val="28"/>
                </w:rPr>
                <m:t>i</m:t>
              </m:r>
              <m:r>
                <m:rPr/>
                <w:rPr>
                  <w:rFonts w:ascii="Cambria Math" w:hAnsi="Cambria Math" w:cs="Times New Roman"/>
                  <w:sz w:val="28"/>
                  <w:szCs w:val="28"/>
                </w:rPr>
                <m:t>=</m:t>
              </m:r>
              <m:r>
                <m:rPr>
                  <m:sty m:val="bi"/>
                </m:rPr>
                <w:rPr>
                  <w:rFonts w:ascii="Cambria Math" w:hAnsi="Cambria Math" w:cs="Times New Roman"/>
                  <w:sz w:val="28"/>
                  <w:szCs w:val="28"/>
                </w:rPr>
                <m:t>1</m:t>
              </m:r>
              <m:ctrlPr>
                <w:rPr>
                  <w:rFonts w:ascii="Cambria Math" w:hAnsi="Cambria Math" w:cs="Times New Roman"/>
                  <w:i/>
                  <w:sz w:val="28"/>
                  <w:szCs w:val="28"/>
                </w:rPr>
              </m:ctrlPr>
            </m:sub>
            <m:sup>
              <m:r>
                <m:rPr>
                  <m:sty m:val="bi"/>
                </m:rPr>
                <w:rPr>
                  <w:rFonts w:ascii="Cambria Math" w:hAnsi="Cambria Math" w:cs="Times New Roman"/>
                  <w:sz w:val="28"/>
                  <w:szCs w:val="28"/>
                  <w:lang w:val="en-US"/>
                </w:rPr>
                <m:t>n</m:t>
              </m:r>
              <m:ctrlPr>
                <w:rPr>
                  <w:rFonts w:ascii="Cambria Math" w:hAnsi="Cambria Math" w:cs="Times New Roman"/>
                  <w:i/>
                  <w:sz w:val="28"/>
                  <w:szCs w:val="28"/>
                </w:rPr>
              </m:ctrlPr>
            </m:sup>
            <m:e>
              <m:sSub>
                <m:sSubPr>
                  <m:ctrlPr>
                    <w:rPr>
                      <w:rFonts w:ascii="Cambria Math" w:hAnsi="Cambria Math" w:cs="Times New Roman"/>
                      <w:i/>
                      <w:sz w:val="28"/>
                      <w:szCs w:val="28"/>
                    </w:rPr>
                  </m:ctrlPr>
                </m:sSubPr>
                <m:e>
                  <m:r>
                    <m:rPr>
                      <m:sty m:val="bi"/>
                    </m:rPr>
                    <w:rPr>
                      <w:rFonts w:ascii="Cambria Math" w:hAnsi="Cambria Math" w:cs="Times New Roman"/>
                      <w:sz w:val="28"/>
                      <w:szCs w:val="28"/>
                      <w:lang w:val="en-US"/>
                    </w:rPr>
                    <m:t>Q</m:t>
                  </m:r>
                  <m:ctrlPr>
                    <w:rPr>
                      <w:rFonts w:ascii="Cambria Math" w:hAnsi="Cambria Math" w:cs="Times New Roman"/>
                      <w:i/>
                      <w:sz w:val="28"/>
                      <w:szCs w:val="28"/>
                    </w:rPr>
                  </m:ctrlPr>
                </m:e>
                <m:sub>
                  <m:r>
                    <m:rPr/>
                    <w:rPr>
                      <w:rFonts w:ascii="Cambria Math" w:hAnsi="Cambria Math" w:cs="Times New Roman"/>
                      <w:sz w:val="28"/>
                      <w:szCs w:val="28"/>
                    </w:rPr>
                    <m:t>i аб</m:t>
                  </m:r>
                  <m:ctrlPr>
                    <w:rPr>
                      <w:rFonts w:ascii="Cambria Math" w:hAnsi="Cambria Math" w:cs="Times New Roman"/>
                      <w:i/>
                      <w:sz w:val="28"/>
                      <w:szCs w:val="28"/>
                    </w:rPr>
                  </m:ctrlPr>
                </m:sub>
              </m:sSub>
              <m:r>
                <m:rPr/>
                <w:rPr>
                  <w:rFonts w:ascii="Cambria Math" w:hAnsi="Cambria Math" w:cs="Times New Roman"/>
                  <w:sz w:val="28"/>
                  <w:szCs w:val="28"/>
                </w:rPr>
                <m:t xml:space="preserve">× </m:t>
              </m:r>
              <m:sSub>
                <m:sSubPr>
                  <m:ctrlPr>
                    <w:rPr>
                      <w:rFonts w:ascii="Cambria Math" w:hAnsi="Cambria Math" w:cs="Times New Roman"/>
                      <w:i/>
                      <w:sz w:val="28"/>
                      <w:szCs w:val="28"/>
                    </w:rPr>
                  </m:ctrlPr>
                </m:sSubPr>
                <m:e>
                  <m:r>
                    <m:rPr/>
                    <w:rPr>
                      <w:rFonts w:ascii="Cambria Math" w:hAnsi="Cambria Math" w:cs="Times New Roman"/>
                      <w:sz w:val="28"/>
                      <w:szCs w:val="28"/>
                      <w:lang w:val="en-US"/>
                    </w:rPr>
                    <m:t>H</m:t>
                  </m:r>
                  <m:ctrlPr>
                    <w:rPr>
                      <w:rFonts w:ascii="Cambria Math" w:hAnsi="Cambria Math" w:cs="Times New Roman"/>
                      <w:i/>
                      <w:sz w:val="28"/>
                      <w:szCs w:val="28"/>
                    </w:rPr>
                  </m:ctrlPr>
                </m:e>
                <m:sub>
                  <m:r>
                    <m:rPr>
                      <m:sty m:val="bi"/>
                    </m:rPr>
                    <w:rPr>
                      <w:rFonts w:ascii="Cambria Math" w:hAnsi="Cambria Math" w:cs="Times New Roman"/>
                      <w:sz w:val="28"/>
                      <w:szCs w:val="28"/>
                    </w:rPr>
                    <m:t>i</m:t>
                  </m:r>
                  <m:r>
                    <m:rPr/>
                    <w:rPr>
                      <w:rFonts w:ascii="Cambria Math" w:hAnsi="Cambria Math" w:cs="Times New Roman"/>
                      <w:sz w:val="28"/>
                      <w:szCs w:val="28"/>
                    </w:rPr>
                    <m:t xml:space="preserve"> аб</m:t>
                  </m:r>
                  <m:ctrlPr>
                    <w:rPr>
                      <w:rFonts w:ascii="Cambria Math" w:hAnsi="Cambria Math" w:cs="Times New Roman"/>
                      <w:i/>
                      <w:sz w:val="28"/>
                      <w:szCs w:val="28"/>
                    </w:rPr>
                  </m:ctrlPr>
                </m:sub>
              </m:sSub>
              <m:ctrlPr>
                <w:rPr>
                  <w:rFonts w:ascii="Cambria Math" w:hAnsi="Cambria Math" w:cs="Times New Roman"/>
                  <w:i/>
                  <w:sz w:val="28"/>
                  <w:szCs w:val="28"/>
                </w:rPr>
              </m:ctrlPr>
            </m:e>
          </m:nary>
          <m:r>
            <m:rPr/>
            <w:rPr>
              <w:rFonts w:ascii="Cambria Math" w:hAnsi="Cambria Math" w:cs="Times New Roman"/>
              <w:sz w:val="28"/>
              <w:szCs w:val="28"/>
            </w:rPr>
            <m:t>, где:</m:t>
          </m:r>
        </m:oMath>
      </m:oMathPara>
    </w:p>
    <w:p w14:paraId="5C004D4B">
      <w:pPr>
        <w:pStyle w:val="8"/>
        <w:spacing w:line="360" w:lineRule="auto"/>
        <w:ind w:firstLine="709"/>
        <w:jc w:val="both"/>
        <w:rPr>
          <w:rFonts w:ascii="Times New Roman" w:hAnsi="Times New Roman" w:cs="Times New Roman"/>
          <w:sz w:val="28"/>
          <w:szCs w:val="28"/>
        </w:rPr>
      </w:pPr>
      <w:r>
        <w:rPr>
          <w:rFonts w:ascii="Times New Roman" w:hAnsi="Times New Roman" w:cs="Times New Roman"/>
          <w:position w:val="-14"/>
          <w:sz w:val="28"/>
          <w:szCs w:val="28"/>
        </w:rPr>
        <w:drawing>
          <wp:inline distT="0" distB="0" distL="0" distR="0">
            <wp:extent cx="314325" cy="257175"/>
            <wp:effectExtent l="0" t="0" r="0" b="0"/>
            <wp:docPr id="340" name="Рисунок 19" descr="base_23792_85543_442"/>
            <wp:cNvGraphicFramePr/>
            <a:graphic xmlns:a="http://schemas.openxmlformats.org/drawingml/2006/main">
              <a:graphicData uri="http://schemas.openxmlformats.org/drawingml/2006/picture">
                <pic:pic xmlns:pic="http://schemas.openxmlformats.org/drawingml/2006/picture">
                  <pic:nvPicPr>
                    <pic:cNvPr id="340" name="Рисунок 19" descr="base_23792_85543_442"/>
                    <pic:cNvPicPr preferRelativeResize="0">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–количество абонентских номеров пользовательского (оконечного) оборудования, подключенного к сети местной телефонной связи, используемых для передачи голосовой информации (далее – абонентский номер для передачи голосовой информации) с i-й абонентской платой;</w:t>
      </w:r>
    </w:p>
    <w:p w14:paraId="12A20CF1">
      <w:pPr>
        <w:pStyle w:val="8"/>
        <w:spacing w:line="360" w:lineRule="auto"/>
        <w:ind w:firstLine="709"/>
        <w:jc w:val="both"/>
        <w:rPr>
          <w:rFonts w:ascii="Times New Roman" w:hAnsi="Times New Roman" w:cs="Times New Roman"/>
          <w:sz w:val="28"/>
          <w:szCs w:val="28"/>
        </w:rPr>
      </w:pPr>
      <w:r>
        <w:rPr>
          <w:rFonts w:ascii="Times New Roman" w:hAnsi="Times New Roman" w:cs="Times New Roman"/>
          <w:position w:val="-14"/>
          <w:sz w:val="28"/>
          <w:szCs w:val="28"/>
        </w:rPr>
        <w:drawing>
          <wp:inline distT="0" distB="0" distL="0" distR="0">
            <wp:extent cx="333375" cy="257175"/>
            <wp:effectExtent l="0" t="0" r="0" b="0"/>
            <wp:docPr id="339" name="Рисунок 20" descr="base_23792_85543_443"/>
            <wp:cNvGraphicFramePr/>
            <a:graphic xmlns:a="http://schemas.openxmlformats.org/drawingml/2006/main">
              <a:graphicData uri="http://schemas.openxmlformats.org/drawingml/2006/picture">
                <pic:pic xmlns:pic="http://schemas.openxmlformats.org/drawingml/2006/picture">
                  <pic:nvPicPr>
                    <pic:cNvPr id="339" name="Рисунок 20" descr="base_23792_85543_443"/>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ежемесячная i-я абонентская плата в расчете на 1 абонентский номер для передачи голосовой информации;</w:t>
      </w:r>
    </w:p>
    <w:p w14:paraId="6DD73318">
      <w:pPr>
        <w:pStyle w:val="8"/>
        <w:spacing w:line="360" w:lineRule="auto"/>
        <w:ind w:firstLine="709"/>
        <w:jc w:val="both"/>
        <w:rPr>
          <w:rFonts w:ascii="Times New Roman" w:hAnsi="Times New Roman" w:cs="Times New Roman"/>
          <w:sz w:val="28"/>
          <w:szCs w:val="28"/>
        </w:rPr>
      </w:pPr>
      <w:r>
        <w:rPr>
          <w:rFonts w:ascii="Times New Roman" w:hAnsi="Times New Roman" w:cs="Times New Roman"/>
          <w:position w:val="-14"/>
          <w:sz w:val="28"/>
          <w:szCs w:val="28"/>
        </w:rPr>
        <w:drawing>
          <wp:inline distT="0" distB="0" distL="0" distR="0">
            <wp:extent cx="333375" cy="257175"/>
            <wp:effectExtent l="0" t="0" r="0" b="0"/>
            <wp:docPr id="338" name="Рисунок 21" descr="base_23792_85543_444"/>
            <wp:cNvGraphicFramePr/>
            <a:graphic xmlns:a="http://schemas.openxmlformats.org/drawingml/2006/main">
              <a:graphicData uri="http://schemas.openxmlformats.org/drawingml/2006/picture">
                <pic:pic xmlns:pic="http://schemas.openxmlformats.org/drawingml/2006/picture">
                  <pic:nvPicPr>
                    <pic:cNvPr id="338" name="Рисунок 21" descr="base_23792_85543_444"/>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с i-й абонентской платой.</w:t>
      </w:r>
    </w:p>
    <w:p w14:paraId="7E83D982">
      <w:pPr>
        <w:pStyle w:val="8"/>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w:t>
      </w:r>
      <w:r>
        <w:rPr>
          <w:rFonts w:ascii="Times New Roman" w:hAnsi="Times New Roman" w:cs="Times New Roman"/>
          <w:sz w:val="28"/>
          <w:szCs w:val="28"/>
        </w:rPr>
        <w:br w:type="page"/>
      </w:r>
    </w:p>
    <w:p w14:paraId="3F922F05">
      <w:pPr>
        <w:pStyle w:val="8"/>
        <w:spacing w:line="360" w:lineRule="auto"/>
        <w:ind w:firstLine="709"/>
        <w:jc w:val="both"/>
        <w:rPr>
          <w:rFonts w:ascii="Times New Roman" w:hAnsi="Times New Roman" w:cs="Times New Roman"/>
          <w:sz w:val="28"/>
          <w:szCs w:val="28"/>
        </w:rPr>
        <w:sectPr>
          <w:headerReference r:id="rId6" w:type="first"/>
          <w:headerReference r:id="rId5" w:type="default"/>
          <w:pgSz w:w="11906" w:h="16838"/>
          <w:pgMar w:top="1418" w:right="567" w:bottom="1134" w:left="1588" w:header="567" w:footer="709" w:gutter="0"/>
          <w:cols w:space="708" w:num="1"/>
          <w:docGrid w:linePitch="360" w:charSpace="0"/>
        </w:sectPr>
      </w:pPr>
    </w:p>
    <w:p w14:paraId="127BD51C">
      <w:pPr>
        <w:widowControl w:val="0"/>
        <w:autoSpaceDE w:val="0"/>
        <w:autoSpaceDN w:val="0"/>
        <w:spacing w:after="0" w:line="360" w:lineRule="auto"/>
        <w:ind w:right="-1023" w:firstLine="709"/>
        <w:jc w:val="center"/>
        <w:rPr>
          <w:rFonts w:ascii="Times New Roman" w:hAnsi="Times New Roman" w:cs="Times New Roman"/>
          <w:sz w:val="28"/>
          <w:szCs w:val="28"/>
        </w:rPr>
      </w:pPr>
      <w:r>
        <w:rPr>
          <w:rFonts w:ascii="Times New Roman" w:hAnsi="Times New Roman" w:cs="Times New Roman"/>
          <w:sz w:val="28"/>
          <w:szCs w:val="28"/>
        </w:rPr>
        <w:t xml:space="preserve">                                                                                                                                                                                          Таблица №1</w:t>
      </w:r>
    </w:p>
    <w:p w14:paraId="33AB5110">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услуги связи</w:t>
      </w:r>
    </w:p>
    <w:p w14:paraId="4E51AE00">
      <w:pPr>
        <w:widowControl w:val="0"/>
        <w:autoSpaceDE w:val="0"/>
        <w:autoSpaceDN w:val="0"/>
        <w:spacing w:after="0" w:line="240" w:lineRule="auto"/>
        <w:ind w:firstLine="709"/>
        <w:jc w:val="center"/>
        <w:rPr>
          <w:rFonts w:ascii="Times New Roman" w:hAnsi="Times New Roman" w:cs="Times New Roman"/>
          <w:sz w:val="16"/>
          <w:szCs w:val="16"/>
        </w:rPr>
      </w:pPr>
    </w:p>
    <w:tbl>
      <w:tblPr>
        <w:tblStyle w:val="3"/>
        <w:tblW w:w="15167" w:type="dxa"/>
        <w:tblInd w:w="-5" w:type="dxa"/>
        <w:tblLayout w:type="fixed"/>
        <w:tblCellMar>
          <w:top w:w="0" w:type="dxa"/>
          <w:left w:w="108" w:type="dxa"/>
          <w:bottom w:w="0" w:type="dxa"/>
          <w:right w:w="108" w:type="dxa"/>
        </w:tblCellMar>
      </w:tblPr>
      <w:tblGrid>
        <w:gridCol w:w="2268"/>
        <w:gridCol w:w="1843"/>
        <w:gridCol w:w="2000"/>
        <w:gridCol w:w="1685"/>
        <w:gridCol w:w="1843"/>
        <w:gridCol w:w="1985"/>
        <w:gridCol w:w="1701"/>
        <w:gridCol w:w="1842"/>
      </w:tblGrid>
      <w:tr w14:paraId="752898D4">
        <w:tblPrEx>
          <w:tblCellMar>
            <w:top w:w="0" w:type="dxa"/>
            <w:left w:w="108" w:type="dxa"/>
            <w:bottom w:w="0" w:type="dxa"/>
            <w:right w:w="108" w:type="dxa"/>
          </w:tblCellMar>
        </w:tblPrEx>
        <w:trPr>
          <w:trHeight w:val="529" w:hRule="atLeast"/>
        </w:trPr>
        <w:tc>
          <w:tcPr>
            <w:tcW w:w="2268" w:type="dxa"/>
            <w:vMerge w:val="restart"/>
            <w:tcBorders>
              <w:top w:val="single" w:color="auto" w:sz="4" w:space="0"/>
              <w:left w:val="single" w:color="auto" w:sz="4" w:space="0"/>
              <w:bottom w:val="single" w:color="auto" w:sz="4" w:space="0"/>
              <w:right w:val="single" w:color="auto" w:sz="4" w:space="0"/>
            </w:tcBorders>
          </w:tcPr>
          <w:p w14:paraId="2E8D1203">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7371" w:type="dxa"/>
            <w:gridSpan w:val="4"/>
            <w:tcBorders>
              <w:top w:val="single" w:color="auto" w:sz="4" w:space="0"/>
              <w:left w:val="single" w:color="auto" w:sz="4" w:space="0"/>
              <w:bottom w:val="single" w:color="auto" w:sz="4" w:space="0"/>
              <w:right w:val="single" w:color="auto" w:sz="4" w:space="0"/>
            </w:tcBorders>
            <w:shd w:val="clear" w:color="auto" w:fill="auto"/>
          </w:tcPr>
          <w:p w14:paraId="74F8D906">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c>
          <w:tcPr>
            <w:tcW w:w="5528" w:type="dxa"/>
            <w:gridSpan w:val="3"/>
            <w:tcBorders>
              <w:top w:val="single" w:color="auto" w:sz="4" w:space="0"/>
              <w:left w:val="single" w:color="auto" w:sz="4" w:space="0"/>
              <w:bottom w:val="single" w:color="auto" w:sz="4" w:space="0"/>
              <w:right w:val="single" w:color="auto" w:sz="4" w:space="0"/>
            </w:tcBorders>
            <w:shd w:val="clear" w:color="auto" w:fill="auto"/>
          </w:tcPr>
          <w:p w14:paraId="09AAB684">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Подведомственное учреждение Кировское областное государственное казенное учреждение «Агентство инвестиционного развития Кировской области» </w:t>
            </w:r>
          </w:p>
        </w:tc>
      </w:tr>
      <w:tr w14:paraId="118B3402">
        <w:tblPrEx>
          <w:tblCellMar>
            <w:top w:w="0" w:type="dxa"/>
            <w:left w:w="108" w:type="dxa"/>
            <w:bottom w:w="0" w:type="dxa"/>
            <w:right w:w="108" w:type="dxa"/>
          </w:tblCellMar>
        </w:tblPrEx>
        <w:trPr>
          <w:trHeight w:val="321" w:hRule="atLeast"/>
        </w:trPr>
        <w:tc>
          <w:tcPr>
            <w:tcW w:w="2268" w:type="dxa"/>
            <w:vMerge w:val="continue"/>
            <w:tcBorders>
              <w:top w:val="single" w:color="auto" w:sz="4" w:space="0"/>
              <w:left w:val="single" w:color="auto" w:sz="4" w:space="0"/>
              <w:bottom w:val="single" w:color="auto" w:sz="4" w:space="0"/>
              <w:right w:val="single" w:color="auto" w:sz="4" w:space="0"/>
            </w:tcBorders>
          </w:tcPr>
          <w:p w14:paraId="317BE3AB">
            <w:pPr>
              <w:spacing w:after="0" w:line="240" w:lineRule="auto"/>
              <w:ind w:left="-113" w:right="-88"/>
              <w:jc w:val="center"/>
              <w:rPr>
                <w:rFonts w:ascii="Times New Roman" w:hAnsi="Times New Roman" w:cs="Times New Roman"/>
                <w:sz w:val="18"/>
                <w:szCs w:val="18"/>
              </w:rPr>
            </w:pPr>
          </w:p>
        </w:tc>
        <w:tc>
          <w:tcPr>
            <w:tcW w:w="3843" w:type="dxa"/>
            <w:gridSpan w:val="2"/>
            <w:tcBorders>
              <w:top w:val="single" w:color="auto" w:sz="4" w:space="0"/>
              <w:left w:val="single" w:color="auto" w:sz="4" w:space="0"/>
              <w:bottom w:val="single" w:color="auto" w:sz="4" w:space="0"/>
              <w:right w:val="single" w:color="auto" w:sz="4" w:space="0"/>
            </w:tcBorders>
            <w:shd w:val="clear" w:color="auto" w:fill="auto"/>
          </w:tcPr>
          <w:p w14:paraId="78D9EB43">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685" w:type="dxa"/>
            <w:vMerge w:val="restart"/>
            <w:tcBorders>
              <w:top w:val="single" w:color="auto" w:sz="4" w:space="0"/>
              <w:left w:val="single" w:color="auto" w:sz="4" w:space="0"/>
              <w:bottom w:val="single" w:color="auto" w:sz="4" w:space="0"/>
              <w:right w:val="single" w:color="auto" w:sz="4" w:space="0"/>
            </w:tcBorders>
            <w:shd w:val="clear" w:color="auto" w:fill="auto"/>
          </w:tcPr>
          <w:p w14:paraId="5B2368D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1843" w:type="dxa"/>
            <w:vMerge w:val="restart"/>
            <w:tcBorders>
              <w:top w:val="single" w:color="auto" w:sz="4" w:space="0"/>
              <w:left w:val="single" w:color="auto" w:sz="4" w:space="0"/>
              <w:right w:val="single" w:color="auto" w:sz="4" w:space="0"/>
            </w:tcBorders>
            <w:shd w:val="clear" w:color="auto" w:fill="auto"/>
          </w:tcPr>
          <w:p w14:paraId="787AEC7B">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c>
          <w:tcPr>
            <w:tcW w:w="3686" w:type="dxa"/>
            <w:gridSpan w:val="2"/>
            <w:tcBorders>
              <w:top w:val="single" w:color="auto" w:sz="4" w:space="0"/>
              <w:left w:val="single" w:color="auto" w:sz="4" w:space="0"/>
              <w:bottom w:val="single" w:color="auto" w:sz="4" w:space="0"/>
              <w:right w:val="single" w:color="auto" w:sz="4" w:space="0"/>
            </w:tcBorders>
            <w:shd w:val="clear" w:color="auto" w:fill="auto"/>
          </w:tcPr>
          <w:p w14:paraId="1ECF10BD">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842" w:type="dxa"/>
            <w:vMerge w:val="restart"/>
            <w:tcBorders>
              <w:top w:val="single" w:color="auto" w:sz="4" w:space="0"/>
              <w:left w:val="single" w:color="auto" w:sz="4" w:space="0"/>
              <w:right w:val="single" w:color="auto" w:sz="4" w:space="0"/>
            </w:tcBorders>
            <w:shd w:val="clear" w:color="auto" w:fill="auto"/>
          </w:tcPr>
          <w:p w14:paraId="08C1E56D">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14:paraId="5C6695A5">
        <w:tblPrEx>
          <w:tblCellMar>
            <w:top w:w="0" w:type="dxa"/>
            <w:left w:w="108" w:type="dxa"/>
            <w:bottom w:w="0" w:type="dxa"/>
            <w:right w:w="108" w:type="dxa"/>
          </w:tblCellMar>
        </w:tblPrEx>
        <w:trPr>
          <w:trHeight w:val="699" w:hRule="atLeast"/>
        </w:trPr>
        <w:tc>
          <w:tcPr>
            <w:tcW w:w="2268" w:type="dxa"/>
            <w:vMerge w:val="continue"/>
            <w:tcBorders>
              <w:top w:val="single" w:color="auto" w:sz="4" w:space="0"/>
              <w:left w:val="single" w:color="auto" w:sz="4" w:space="0"/>
              <w:bottom w:val="single" w:color="auto" w:sz="4" w:space="0"/>
              <w:right w:val="single" w:color="auto" w:sz="4" w:space="0"/>
            </w:tcBorders>
          </w:tcPr>
          <w:p w14:paraId="2456E70D">
            <w:pPr>
              <w:spacing w:after="0" w:line="240" w:lineRule="auto"/>
              <w:ind w:left="-113" w:right="-88"/>
              <w:jc w:val="center"/>
              <w:rPr>
                <w:rFonts w:ascii="Times New Roman" w:hAnsi="Times New Roman" w:cs="Times New Roman"/>
                <w:sz w:val="18"/>
                <w:szCs w:val="18"/>
              </w:rPr>
            </w:pP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34EAABA6">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2000" w:type="dxa"/>
            <w:tcBorders>
              <w:top w:val="single" w:color="auto" w:sz="4" w:space="0"/>
              <w:left w:val="single" w:color="auto" w:sz="4" w:space="0"/>
              <w:bottom w:val="single" w:color="auto" w:sz="4" w:space="0"/>
              <w:right w:val="single" w:color="auto" w:sz="4" w:space="0"/>
            </w:tcBorders>
            <w:shd w:val="clear" w:color="auto" w:fill="auto"/>
          </w:tcPr>
          <w:p w14:paraId="29C7D58D">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685" w:type="dxa"/>
            <w:vMerge w:val="continue"/>
            <w:tcBorders>
              <w:top w:val="single" w:color="auto" w:sz="4" w:space="0"/>
              <w:left w:val="single" w:color="auto" w:sz="4" w:space="0"/>
              <w:bottom w:val="single" w:color="auto" w:sz="4" w:space="0"/>
              <w:right w:val="single" w:color="auto" w:sz="4" w:space="0"/>
            </w:tcBorders>
            <w:shd w:val="clear" w:color="auto" w:fill="auto"/>
          </w:tcPr>
          <w:p w14:paraId="72583851">
            <w:pPr>
              <w:spacing w:after="0" w:line="240" w:lineRule="auto"/>
              <w:ind w:left="-113" w:right="-88"/>
              <w:jc w:val="center"/>
              <w:rPr>
                <w:rFonts w:ascii="Times New Roman" w:hAnsi="Times New Roman" w:cs="Times New Roman"/>
                <w:sz w:val="18"/>
                <w:szCs w:val="18"/>
              </w:rPr>
            </w:pPr>
          </w:p>
        </w:tc>
        <w:tc>
          <w:tcPr>
            <w:tcW w:w="1843" w:type="dxa"/>
            <w:vMerge w:val="continue"/>
            <w:tcBorders>
              <w:left w:val="single" w:color="auto" w:sz="4" w:space="0"/>
              <w:bottom w:val="single" w:color="auto" w:sz="4" w:space="0"/>
              <w:right w:val="single" w:color="auto" w:sz="4" w:space="0"/>
            </w:tcBorders>
          </w:tcPr>
          <w:p w14:paraId="3D75812C">
            <w:pPr>
              <w:spacing w:after="0" w:line="240" w:lineRule="auto"/>
              <w:ind w:left="-113" w:right="-88"/>
              <w:jc w:val="center"/>
              <w:rPr>
                <w:rFonts w:ascii="Times New Roman" w:hAnsi="Times New Roman" w:cs="Times New Roman"/>
                <w:sz w:val="18"/>
                <w:szCs w:val="18"/>
              </w:rPr>
            </w:pPr>
          </w:p>
        </w:tc>
        <w:tc>
          <w:tcPr>
            <w:tcW w:w="1985" w:type="dxa"/>
            <w:tcBorders>
              <w:top w:val="single" w:color="auto" w:sz="4" w:space="0"/>
              <w:left w:val="single" w:color="auto" w:sz="4" w:space="0"/>
              <w:bottom w:val="single" w:color="auto" w:sz="4" w:space="0"/>
              <w:right w:val="single" w:color="auto" w:sz="4" w:space="0"/>
            </w:tcBorders>
            <w:shd w:val="clear" w:color="auto" w:fill="auto"/>
          </w:tcPr>
          <w:p w14:paraId="5FE957AA">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701" w:type="dxa"/>
            <w:tcBorders>
              <w:top w:val="single" w:color="auto" w:sz="4" w:space="0"/>
              <w:left w:val="single" w:color="auto" w:sz="4" w:space="0"/>
              <w:bottom w:val="single" w:color="auto" w:sz="4" w:space="0"/>
              <w:right w:val="single" w:color="auto" w:sz="4" w:space="0"/>
            </w:tcBorders>
            <w:shd w:val="clear" w:color="auto" w:fill="auto"/>
          </w:tcPr>
          <w:p w14:paraId="15D4F711">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842" w:type="dxa"/>
            <w:vMerge w:val="continue"/>
            <w:tcBorders>
              <w:left w:val="single" w:color="auto" w:sz="4" w:space="0"/>
              <w:bottom w:val="single" w:color="auto" w:sz="4" w:space="0"/>
              <w:right w:val="single" w:color="auto" w:sz="4" w:space="0"/>
            </w:tcBorders>
            <w:shd w:val="clear" w:color="auto" w:fill="auto"/>
          </w:tcPr>
          <w:p w14:paraId="261706A4">
            <w:pPr>
              <w:spacing w:after="0" w:line="240" w:lineRule="auto"/>
              <w:ind w:left="-113" w:right="-88"/>
              <w:jc w:val="center"/>
              <w:rPr>
                <w:rFonts w:ascii="Times New Roman" w:hAnsi="Times New Roman" w:cs="Times New Roman"/>
                <w:sz w:val="18"/>
                <w:szCs w:val="18"/>
              </w:rPr>
            </w:pPr>
          </w:p>
        </w:tc>
      </w:tr>
      <w:tr w14:paraId="0D7DEE0F">
        <w:tblPrEx>
          <w:tblCellMar>
            <w:top w:w="0" w:type="dxa"/>
            <w:left w:w="108" w:type="dxa"/>
            <w:bottom w:w="0" w:type="dxa"/>
            <w:right w:w="108" w:type="dxa"/>
          </w:tblCellMar>
        </w:tblPrEx>
        <w:trPr>
          <w:trHeight w:val="137" w:hRule="atLeast"/>
        </w:trPr>
        <w:tc>
          <w:tcPr>
            <w:tcW w:w="2268" w:type="dxa"/>
            <w:tcBorders>
              <w:top w:val="single" w:color="auto" w:sz="4" w:space="0"/>
              <w:left w:val="single" w:color="auto" w:sz="4" w:space="0"/>
              <w:bottom w:val="single" w:color="auto" w:sz="4" w:space="0"/>
              <w:right w:val="single" w:color="auto" w:sz="4" w:space="0"/>
            </w:tcBorders>
          </w:tcPr>
          <w:p w14:paraId="6687D38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03C9B94F">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2000" w:type="dxa"/>
            <w:tcBorders>
              <w:top w:val="single" w:color="auto" w:sz="4" w:space="0"/>
              <w:left w:val="single" w:color="auto" w:sz="4" w:space="0"/>
              <w:bottom w:val="single" w:color="auto" w:sz="4" w:space="0"/>
              <w:right w:val="single" w:color="auto" w:sz="4" w:space="0"/>
            </w:tcBorders>
            <w:shd w:val="clear" w:color="auto" w:fill="auto"/>
          </w:tcPr>
          <w:p w14:paraId="6CD6BD13">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685" w:type="dxa"/>
            <w:tcBorders>
              <w:top w:val="single" w:color="auto" w:sz="4" w:space="0"/>
              <w:left w:val="single" w:color="auto" w:sz="4" w:space="0"/>
              <w:bottom w:val="single" w:color="auto" w:sz="4" w:space="0"/>
              <w:right w:val="single" w:color="auto" w:sz="4" w:space="0"/>
            </w:tcBorders>
          </w:tcPr>
          <w:p w14:paraId="052076A5">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1843" w:type="dxa"/>
            <w:tcBorders>
              <w:top w:val="single" w:color="auto" w:sz="4" w:space="0"/>
              <w:left w:val="single" w:color="auto" w:sz="4" w:space="0"/>
              <w:bottom w:val="single" w:color="auto" w:sz="4" w:space="0"/>
              <w:right w:val="single" w:color="auto" w:sz="4" w:space="0"/>
            </w:tcBorders>
          </w:tcPr>
          <w:p w14:paraId="49744B6B">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1985" w:type="dxa"/>
            <w:tcBorders>
              <w:top w:val="single" w:color="auto" w:sz="4" w:space="0"/>
              <w:left w:val="single" w:color="auto" w:sz="4" w:space="0"/>
              <w:bottom w:val="single" w:color="auto" w:sz="4" w:space="0"/>
              <w:right w:val="single" w:color="auto" w:sz="4" w:space="0"/>
            </w:tcBorders>
            <w:shd w:val="clear" w:color="auto" w:fill="auto"/>
          </w:tcPr>
          <w:p w14:paraId="0D7E198C">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6</w:t>
            </w:r>
          </w:p>
        </w:tc>
        <w:tc>
          <w:tcPr>
            <w:tcW w:w="1701" w:type="dxa"/>
            <w:tcBorders>
              <w:top w:val="single" w:color="auto" w:sz="4" w:space="0"/>
              <w:left w:val="single" w:color="auto" w:sz="4" w:space="0"/>
              <w:bottom w:val="single" w:color="auto" w:sz="4" w:space="0"/>
              <w:right w:val="single" w:color="auto" w:sz="4" w:space="0"/>
            </w:tcBorders>
            <w:shd w:val="clear" w:color="auto" w:fill="auto"/>
          </w:tcPr>
          <w:p w14:paraId="39A6C2E3">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7</w:t>
            </w:r>
          </w:p>
        </w:tc>
        <w:tc>
          <w:tcPr>
            <w:tcW w:w="1842" w:type="dxa"/>
            <w:tcBorders>
              <w:top w:val="single" w:color="auto" w:sz="4" w:space="0"/>
              <w:left w:val="single" w:color="auto" w:sz="4" w:space="0"/>
              <w:bottom w:val="single" w:color="auto" w:sz="4" w:space="0"/>
              <w:right w:val="single" w:color="auto" w:sz="4" w:space="0"/>
            </w:tcBorders>
          </w:tcPr>
          <w:p w14:paraId="4D8F4CB1">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8</w:t>
            </w:r>
          </w:p>
        </w:tc>
      </w:tr>
      <w:tr w14:paraId="0C97BA8F">
        <w:tblPrEx>
          <w:tblCellMar>
            <w:top w:w="0" w:type="dxa"/>
            <w:left w:w="108" w:type="dxa"/>
            <w:bottom w:w="0" w:type="dxa"/>
            <w:right w:w="108" w:type="dxa"/>
          </w:tblCellMar>
        </w:tblPrEx>
        <w:trPr>
          <w:trHeight w:val="137" w:hRule="atLeast"/>
        </w:trPr>
        <w:tc>
          <w:tcPr>
            <w:tcW w:w="2268" w:type="dxa"/>
            <w:tcBorders>
              <w:top w:val="single" w:color="auto" w:sz="4" w:space="0"/>
              <w:left w:val="single" w:color="auto" w:sz="4" w:space="0"/>
              <w:bottom w:val="single" w:color="auto" w:sz="4" w:space="0"/>
              <w:right w:val="single" w:color="auto" w:sz="4" w:space="0"/>
            </w:tcBorders>
          </w:tcPr>
          <w:p w14:paraId="33225B1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Абонентская плата</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480C55B2">
            <w:pPr>
              <w:spacing w:after="0" w:line="240" w:lineRule="auto"/>
              <w:ind w:left="-113" w:right="-88"/>
              <w:jc w:val="center"/>
              <w:rPr>
                <w:rFonts w:ascii="Times New Roman" w:hAnsi="Times New Roman" w:cs="Times New Roman"/>
                <w:sz w:val="18"/>
                <w:szCs w:val="18"/>
              </w:rPr>
            </w:pPr>
          </w:p>
        </w:tc>
        <w:tc>
          <w:tcPr>
            <w:tcW w:w="2000" w:type="dxa"/>
            <w:tcBorders>
              <w:top w:val="single" w:color="auto" w:sz="4" w:space="0"/>
              <w:left w:val="single" w:color="auto" w:sz="4" w:space="0"/>
              <w:bottom w:val="single" w:color="auto" w:sz="4" w:space="0"/>
              <w:right w:val="single" w:color="auto" w:sz="4" w:space="0"/>
            </w:tcBorders>
            <w:shd w:val="clear" w:color="auto" w:fill="auto"/>
          </w:tcPr>
          <w:p w14:paraId="1C406230">
            <w:pPr>
              <w:spacing w:after="0" w:line="240" w:lineRule="auto"/>
              <w:ind w:left="-113" w:right="-88"/>
              <w:jc w:val="center"/>
              <w:rPr>
                <w:rFonts w:ascii="Times New Roman" w:hAnsi="Times New Roman" w:cs="Times New Roman"/>
                <w:sz w:val="18"/>
                <w:szCs w:val="18"/>
              </w:rPr>
            </w:pPr>
          </w:p>
        </w:tc>
        <w:tc>
          <w:tcPr>
            <w:tcW w:w="1685" w:type="dxa"/>
            <w:tcBorders>
              <w:top w:val="single" w:color="auto" w:sz="4" w:space="0"/>
              <w:left w:val="single" w:color="auto" w:sz="4" w:space="0"/>
              <w:bottom w:val="single" w:color="auto" w:sz="4" w:space="0"/>
              <w:right w:val="single" w:color="auto" w:sz="4" w:space="0"/>
            </w:tcBorders>
          </w:tcPr>
          <w:p w14:paraId="6D037AB7">
            <w:pPr>
              <w:spacing w:after="0" w:line="240" w:lineRule="auto"/>
              <w:ind w:left="-113" w:right="-88"/>
              <w:jc w:val="center"/>
              <w:rPr>
                <w:rFonts w:ascii="Times New Roman" w:hAnsi="Times New Roman" w:cs="Times New Roman"/>
                <w:sz w:val="18"/>
                <w:szCs w:val="18"/>
              </w:rPr>
            </w:pPr>
          </w:p>
        </w:tc>
        <w:tc>
          <w:tcPr>
            <w:tcW w:w="1843" w:type="dxa"/>
            <w:tcBorders>
              <w:top w:val="single" w:color="auto" w:sz="4" w:space="0"/>
              <w:left w:val="single" w:color="auto" w:sz="4" w:space="0"/>
              <w:bottom w:val="single" w:color="auto" w:sz="4" w:space="0"/>
              <w:right w:val="single" w:color="auto" w:sz="4" w:space="0"/>
            </w:tcBorders>
          </w:tcPr>
          <w:p w14:paraId="3987AFEC">
            <w:pPr>
              <w:spacing w:after="0" w:line="240" w:lineRule="auto"/>
              <w:ind w:left="-113" w:right="-88"/>
              <w:jc w:val="center"/>
              <w:rPr>
                <w:rFonts w:ascii="Times New Roman" w:hAnsi="Times New Roman" w:cs="Times New Roman"/>
                <w:sz w:val="18"/>
                <w:szCs w:val="18"/>
              </w:rPr>
            </w:pPr>
          </w:p>
        </w:tc>
        <w:tc>
          <w:tcPr>
            <w:tcW w:w="5528" w:type="dxa"/>
            <w:gridSpan w:val="3"/>
            <w:tcBorders>
              <w:top w:val="single" w:color="auto" w:sz="4" w:space="0"/>
              <w:left w:val="single" w:color="auto" w:sz="4" w:space="0"/>
              <w:bottom w:val="single" w:color="auto" w:sz="4" w:space="0"/>
              <w:right w:val="single" w:color="auto" w:sz="4" w:space="0"/>
            </w:tcBorders>
            <w:shd w:val="clear" w:color="auto" w:fill="auto"/>
          </w:tcPr>
          <w:p w14:paraId="2574CAE0">
            <w:pPr>
              <w:spacing w:after="0" w:line="240" w:lineRule="auto"/>
              <w:ind w:left="-113" w:right="-88"/>
              <w:jc w:val="center"/>
              <w:rPr>
                <w:rFonts w:ascii="Times New Roman" w:hAnsi="Times New Roman" w:cs="Times New Roman"/>
                <w:sz w:val="18"/>
                <w:szCs w:val="18"/>
              </w:rPr>
            </w:pPr>
          </w:p>
        </w:tc>
      </w:tr>
      <w:tr w14:paraId="2BB3223F">
        <w:tblPrEx>
          <w:tblCellMar>
            <w:top w:w="0" w:type="dxa"/>
            <w:left w:w="108" w:type="dxa"/>
            <w:bottom w:w="0" w:type="dxa"/>
            <w:right w:w="108" w:type="dxa"/>
          </w:tblCellMar>
        </w:tblPrEx>
        <w:trPr>
          <w:trHeight w:val="333" w:hRule="atLeast"/>
        </w:trPr>
        <w:tc>
          <w:tcPr>
            <w:tcW w:w="2268" w:type="dxa"/>
            <w:tcBorders>
              <w:top w:val="single" w:color="auto" w:sz="4" w:space="0"/>
              <w:left w:val="single" w:color="auto" w:sz="4" w:space="0"/>
              <w:bottom w:val="single" w:color="auto" w:sz="4" w:space="0"/>
              <w:right w:val="single" w:color="auto" w:sz="4" w:space="0"/>
            </w:tcBorders>
          </w:tcPr>
          <w:p w14:paraId="33DCC8DB">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38124948">
            <w:pPr>
              <w:spacing w:after="0" w:line="240" w:lineRule="auto"/>
              <w:ind w:left="-113" w:right="-88"/>
              <w:jc w:val="center"/>
              <w:rPr>
                <w:rFonts w:ascii="Times New Roman" w:hAnsi="Times New Roman" w:cs="Times New Roman"/>
                <w:sz w:val="18"/>
                <w:szCs w:val="18"/>
              </w:rPr>
            </w:pPr>
          </w:p>
        </w:tc>
        <w:tc>
          <w:tcPr>
            <w:tcW w:w="2000" w:type="dxa"/>
            <w:tcBorders>
              <w:top w:val="single" w:color="auto" w:sz="4" w:space="0"/>
              <w:left w:val="single" w:color="auto" w:sz="4" w:space="0"/>
              <w:bottom w:val="single" w:color="auto" w:sz="4" w:space="0"/>
              <w:right w:val="single" w:color="auto" w:sz="4" w:space="0"/>
            </w:tcBorders>
            <w:shd w:val="clear" w:color="auto" w:fill="auto"/>
          </w:tcPr>
          <w:p w14:paraId="30923330">
            <w:pPr>
              <w:spacing w:after="0" w:line="240" w:lineRule="auto"/>
              <w:ind w:left="-113" w:right="-88"/>
              <w:jc w:val="center"/>
              <w:rPr>
                <w:rFonts w:ascii="Times New Roman" w:hAnsi="Times New Roman" w:cs="Times New Roman"/>
                <w:sz w:val="18"/>
                <w:szCs w:val="18"/>
              </w:rPr>
            </w:pPr>
          </w:p>
        </w:tc>
        <w:tc>
          <w:tcPr>
            <w:tcW w:w="1685" w:type="dxa"/>
            <w:tcBorders>
              <w:top w:val="single" w:color="auto" w:sz="4" w:space="0"/>
              <w:left w:val="single" w:color="auto" w:sz="4" w:space="0"/>
              <w:bottom w:val="single" w:color="auto" w:sz="4" w:space="0"/>
              <w:right w:val="single" w:color="auto" w:sz="4" w:space="0"/>
            </w:tcBorders>
          </w:tcPr>
          <w:p w14:paraId="73C27EB8">
            <w:pPr>
              <w:spacing w:after="0" w:line="240" w:lineRule="auto"/>
              <w:ind w:left="-113" w:right="-88"/>
              <w:jc w:val="center"/>
              <w:rPr>
                <w:rFonts w:ascii="Times New Roman" w:hAnsi="Times New Roman" w:cs="Times New Roman"/>
                <w:sz w:val="18"/>
                <w:szCs w:val="18"/>
              </w:rPr>
            </w:pPr>
          </w:p>
        </w:tc>
        <w:tc>
          <w:tcPr>
            <w:tcW w:w="1843" w:type="dxa"/>
            <w:tcBorders>
              <w:top w:val="single" w:color="auto" w:sz="4" w:space="0"/>
              <w:left w:val="single" w:color="auto" w:sz="4" w:space="0"/>
              <w:bottom w:val="single" w:color="auto" w:sz="4" w:space="0"/>
              <w:right w:val="single" w:color="auto" w:sz="4" w:space="0"/>
            </w:tcBorders>
          </w:tcPr>
          <w:p w14:paraId="77C6DC3B">
            <w:pPr>
              <w:spacing w:after="0" w:line="240" w:lineRule="auto"/>
              <w:ind w:left="-113" w:right="-88"/>
              <w:jc w:val="center"/>
              <w:rPr>
                <w:rFonts w:ascii="Times New Roman" w:hAnsi="Times New Roman" w:cs="Times New Roman"/>
                <w:sz w:val="18"/>
                <w:szCs w:val="18"/>
              </w:rPr>
            </w:pPr>
          </w:p>
        </w:tc>
        <w:tc>
          <w:tcPr>
            <w:tcW w:w="5528" w:type="dxa"/>
            <w:gridSpan w:val="3"/>
            <w:tcBorders>
              <w:top w:val="single" w:color="auto" w:sz="4" w:space="0"/>
              <w:left w:val="single" w:color="auto" w:sz="4" w:space="0"/>
              <w:bottom w:val="single" w:color="auto" w:sz="4" w:space="0"/>
              <w:right w:val="single" w:color="auto" w:sz="4" w:space="0"/>
            </w:tcBorders>
            <w:shd w:val="clear" w:color="auto" w:fill="auto"/>
          </w:tcPr>
          <w:p w14:paraId="22FBA9F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r>
      <w:tr w14:paraId="27F50C35">
        <w:tblPrEx>
          <w:tblCellMar>
            <w:top w:w="0" w:type="dxa"/>
            <w:left w:w="108" w:type="dxa"/>
            <w:bottom w:w="0" w:type="dxa"/>
            <w:right w:w="108" w:type="dxa"/>
          </w:tblCellMar>
        </w:tblPrEx>
        <w:trPr>
          <w:trHeight w:val="404" w:hRule="atLeast"/>
        </w:trPr>
        <w:tc>
          <w:tcPr>
            <w:tcW w:w="2268" w:type="dxa"/>
            <w:tcBorders>
              <w:top w:val="single" w:color="auto" w:sz="4" w:space="0"/>
              <w:left w:val="single" w:color="auto" w:sz="4" w:space="0"/>
              <w:bottom w:val="single" w:color="auto" w:sz="4" w:space="0"/>
              <w:right w:val="single" w:color="auto" w:sz="4" w:space="0"/>
            </w:tcBorders>
          </w:tcPr>
          <w:p w14:paraId="12359E5C">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 xml:space="preserve">Ежемесячная абонентская плата </w:t>
            </w:r>
          </w:p>
        </w:tc>
        <w:tc>
          <w:tcPr>
            <w:tcW w:w="12899" w:type="dxa"/>
            <w:gridSpan w:val="7"/>
            <w:tcBorders>
              <w:top w:val="single" w:color="auto" w:sz="4" w:space="0"/>
              <w:left w:val="single" w:color="auto" w:sz="4" w:space="0"/>
              <w:bottom w:val="single" w:color="auto" w:sz="4" w:space="0"/>
              <w:right w:val="single" w:color="auto" w:sz="4" w:space="0"/>
            </w:tcBorders>
            <w:shd w:val="clear" w:color="auto" w:fill="auto"/>
          </w:tcPr>
          <w:p w14:paraId="2E08F03C">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в соответствии с тарифом за 1 абонентский номер</w:t>
            </w:r>
          </w:p>
        </w:tc>
      </w:tr>
      <w:tr w14:paraId="1AE5DDC6">
        <w:tblPrEx>
          <w:tblCellMar>
            <w:top w:w="0" w:type="dxa"/>
            <w:left w:w="108" w:type="dxa"/>
            <w:bottom w:w="0" w:type="dxa"/>
            <w:right w:w="108" w:type="dxa"/>
          </w:tblCellMar>
        </w:tblPrEx>
        <w:trPr>
          <w:trHeight w:val="137" w:hRule="atLeast"/>
        </w:trPr>
        <w:tc>
          <w:tcPr>
            <w:tcW w:w="2268" w:type="dxa"/>
            <w:tcBorders>
              <w:top w:val="single" w:color="auto" w:sz="4" w:space="0"/>
              <w:left w:val="single" w:color="auto" w:sz="4" w:space="0"/>
              <w:bottom w:val="single" w:color="auto" w:sz="4" w:space="0"/>
              <w:right w:val="single" w:color="auto" w:sz="4" w:space="0"/>
            </w:tcBorders>
          </w:tcPr>
          <w:p w14:paraId="7EE221FF">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Местное соединение</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443F1E2F">
            <w:pPr>
              <w:spacing w:after="0" w:line="240" w:lineRule="auto"/>
              <w:ind w:left="-113" w:right="-88"/>
              <w:jc w:val="center"/>
              <w:rPr>
                <w:rFonts w:ascii="Times New Roman" w:hAnsi="Times New Roman" w:cs="Times New Roman"/>
                <w:sz w:val="18"/>
                <w:szCs w:val="18"/>
              </w:rPr>
            </w:pPr>
          </w:p>
        </w:tc>
        <w:tc>
          <w:tcPr>
            <w:tcW w:w="2000" w:type="dxa"/>
            <w:tcBorders>
              <w:top w:val="single" w:color="auto" w:sz="4" w:space="0"/>
              <w:left w:val="single" w:color="auto" w:sz="4" w:space="0"/>
              <w:bottom w:val="single" w:color="auto" w:sz="4" w:space="0"/>
              <w:right w:val="single" w:color="auto" w:sz="4" w:space="0"/>
            </w:tcBorders>
            <w:shd w:val="clear" w:color="auto" w:fill="auto"/>
          </w:tcPr>
          <w:p w14:paraId="4475D64D">
            <w:pPr>
              <w:spacing w:after="0" w:line="240" w:lineRule="auto"/>
              <w:ind w:left="-113" w:right="-88"/>
              <w:jc w:val="center"/>
              <w:rPr>
                <w:rFonts w:ascii="Times New Roman" w:hAnsi="Times New Roman" w:cs="Times New Roman"/>
                <w:sz w:val="18"/>
                <w:szCs w:val="18"/>
              </w:rPr>
            </w:pPr>
          </w:p>
        </w:tc>
        <w:tc>
          <w:tcPr>
            <w:tcW w:w="1685" w:type="dxa"/>
            <w:tcBorders>
              <w:top w:val="single" w:color="auto" w:sz="4" w:space="0"/>
              <w:left w:val="single" w:color="auto" w:sz="4" w:space="0"/>
              <w:bottom w:val="single" w:color="auto" w:sz="4" w:space="0"/>
              <w:right w:val="single" w:color="auto" w:sz="4" w:space="0"/>
            </w:tcBorders>
          </w:tcPr>
          <w:p w14:paraId="77AB3105">
            <w:pPr>
              <w:spacing w:after="0" w:line="240" w:lineRule="auto"/>
              <w:ind w:left="-113" w:right="-88"/>
              <w:jc w:val="center"/>
              <w:rPr>
                <w:rFonts w:ascii="Times New Roman" w:hAnsi="Times New Roman" w:cs="Times New Roman"/>
                <w:sz w:val="18"/>
                <w:szCs w:val="18"/>
              </w:rPr>
            </w:pPr>
          </w:p>
        </w:tc>
        <w:tc>
          <w:tcPr>
            <w:tcW w:w="1843" w:type="dxa"/>
            <w:tcBorders>
              <w:top w:val="single" w:color="auto" w:sz="4" w:space="0"/>
              <w:left w:val="single" w:color="auto" w:sz="4" w:space="0"/>
              <w:bottom w:val="single" w:color="auto" w:sz="4" w:space="0"/>
              <w:right w:val="single" w:color="auto" w:sz="4" w:space="0"/>
            </w:tcBorders>
          </w:tcPr>
          <w:p w14:paraId="7D847FFA">
            <w:pPr>
              <w:spacing w:after="0" w:line="240" w:lineRule="auto"/>
              <w:ind w:left="-113" w:right="-88"/>
              <w:jc w:val="center"/>
              <w:rPr>
                <w:rFonts w:ascii="Times New Roman" w:hAnsi="Times New Roman" w:cs="Times New Roman"/>
                <w:sz w:val="18"/>
                <w:szCs w:val="18"/>
              </w:rPr>
            </w:pPr>
          </w:p>
        </w:tc>
        <w:tc>
          <w:tcPr>
            <w:tcW w:w="5528" w:type="dxa"/>
            <w:gridSpan w:val="3"/>
            <w:tcBorders>
              <w:top w:val="single" w:color="auto" w:sz="4" w:space="0"/>
              <w:left w:val="single" w:color="auto" w:sz="4" w:space="0"/>
              <w:bottom w:val="single" w:color="auto" w:sz="4" w:space="0"/>
              <w:right w:val="single" w:color="auto" w:sz="4" w:space="0"/>
            </w:tcBorders>
            <w:shd w:val="clear" w:color="auto" w:fill="auto"/>
          </w:tcPr>
          <w:p w14:paraId="5F2EA110">
            <w:pPr>
              <w:spacing w:after="0" w:line="240" w:lineRule="auto"/>
              <w:ind w:left="-113" w:right="-88"/>
              <w:jc w:val="center"/>
              <w:rPr>
                <w:rFonts w:ascii="Times New Roman" w:hAnsi="Times New Roman" w:cs="Times New Roman"/>
                <w:sz w:val="18"/>
                <w:szCs w:val="18"/>
              </w:rPr>
            </w:pPr>
          </w:p>
        </w:tc>
      </w:tr>
      <w:tr w14:paraId="2CB5A76A">
        <w:tblPrEx>
          <w:tblCellMar>
            <w:top w:w="0" w:type="dxa"/>
            <w:left w:w="108" w:type="dxa"/>
            <w:bottom w:w="0" w:type="dxa"/>
            <w:right w:w="108" w:type="dxa"/>
          </w:tblCellMar>
        </w:tblPrEx>
        <w:trPr>
          <w:trHeight w:val="445" w:hRule="atLeast"/>
        </w:trPr>
        <w:tc>
          <w:tcPr>
            <w:tcW w:w="2268" w:type="dxa"/>
            <w:tcBorders>
              <w:top w:val="single" w:color="auto" w:sz="4" w:space="0"/>
              <w:left w:val="single" w:color="auto" w:sz="4" w:space="0"/>
              <w:bottom w:val="single" w:color="auto" w:sz="4" w:space="0"/>
              <w:right w:val="single" w:color="auto" w:sz="4" w:space="0"/>
            </w:tcBorders>
          </w:tcPr>
          <w:p w14:paraId="7F79AB2D">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79A8CAAA">
            <w:pPr>
              <w:spacing w:after="0" w:line="240" w:lineRule="auto"/>
              <w:ind w:left="-113" w:right="-88"/>
              <w:jc w:val="center"/>
              <w:rPr>
                <w:rFonts w:ascii="Times New Roman" w:hAnsi="Times New Roman" w:cs="Times New Roman"/>
                <w:sz w:val="18"/>
                <w:szCs w:val="18"/>
              </w:rPr>
            </w:pPr>
          </w:p>
        </w:tc>
        <w:tc>
          <w:tcPr>
            <w:tcW w:w="2000" w:type="dxa"/>
            <w:tcBorders>
              <w:top w:val="single" w:color="auto" w:sz="4" w:space="0"/>
              <w:left w:val="single" w:color="auto" w:sz="4" w:space="0"/>
              <w:bottom w:val="single" w:color="auto" w:sz="4" w:space="0"/>
              <w:right w:val="single" w:color="auto" w:sz="4" w:space="0"/>
            </w:tcBorders>
            <w:shd w:val="clear" w:color="auto" w:fill="auto"/>
          </w:tcPr>
          <w:p w14:paraId="06E13D15">
            <w:pPr>
              <w:spacing w:after="0" w:line="240" w:lineRule="auto"/>
              <w:ind w:left="-113" w:right="-88"/>
              <w:jc w:val="center"/>
              <w:rPr>
                <w:rFonts w:ascii="Times New Roman" w:hAnsi="Times New Roman" w:cs="Times New Roman"/>
                <w:sz w:val="18"/>
                <w:szCs w:val="18"/>
              </w:rPr>
            </w:pPr>
          </w:p>
        </w:tc>
        <w:tc>
          <w:tcPr>
            <w:tcW w:w="1685" w:type="dxa"/>
            <w:tcBorders>
              <w:top w:val="single" w:color="auto" w:sz="4" w:space="0"/>
              <w:left w:val="single" w:color="auto" w:sz="4" w:space="0"/>
              <w:bottom w:val="single" w:color="auto" w:sz="4" w:space="0"/>
              <w:right w:val="single" w:color="auto" w:sz="4" w:space="0"/>
            </w:tcBorders>
          </w:tcPr>
          <w:p w14:paraId="09F10E06">
            <w:pPr>
              <w:spacing w:after="0" w:line="240" w:lineRule="auto"/>
              <w:ind w:left="-113" w:right="-88"/>
              <w:jc w:val="center"/>
              <w:rPr>
                <w:rFonts w:ascii="Times New Roman" w:hAnsi="Times New Roman" w:cs="Times New Roman"/>
                <w:sz w:val="18"/>
                <w:szCs w:val="18"/>
              </w:rPr>
            </w:pPr>
          </w:p>
        </w:tc>
        <w:tc>
          <w:tcPr>
            <w:tcW w:w="1843" w:type="dxa"/>
            <w:tcBorders>
              <w:top w:val="single" w:color="auto" w:sz="4" w:space="0"/>
              <w:left w:val="single" w:color="auto" w:sz="4" w:space="0"/>
              <w:bottom w:val="single" w:color="auto" w:sz="4" w:space="0"/>
              <w:right w:val="single" w:color="auto" w:sz="4" w:space="0"/>
            </w:tcBorders>
          </w:tcPr>
          <w:p w14:paraId="297DE7B1">
            <w:pPr>
              <w:spacing w:after="0" w:line="240" w:lineRule="auto"/>
              <w:ind w:left="-113" w:right="-88"/>
              <w:jc w:val="center"/>
              <w:rPr>
                <w:rFonts w:ascii="Times New Roman" w:hAnsi="Times New Roman" w:cs="Times New Roman"/>
                <w:sz w:val="18"/>
                <w:szCs w:val="18"/>
              </w:rPr>
            </w:pPr>
          </w:p>
        </w:tc>
        <w:tc>
          <w:tcPr>
            <w:tcW w:w="5528" w:type="dxa"/>
            <w:gridSpan w:val="3"/>
            <w:tcBorders>
              <w:top w:val="single" w:color="auto" w:sz="4" w:space="0"/>
              <w:left w:val="single" w:color="auto" w:sz="4" w:space="0"/>
              <w:bottom w:val="single" w:color="auto" w:sz="4" w:space="0"/>
              <w:right w:val="single" w:color="auto" w:sz="4" w:space="0"/>
            </w:tcBorders>
            <w:shd w:val="clear" w:color="auto" w:fill="auto"/>
          </w:tcPr>
          <w:p w14:paraId="5E2E2E5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r>
      <w:tr w14:paraId="498612F3">
        <w:tblPrEx>
          <w:tblCellMar>
            <w:top w:w="0" w:type="dxa"/>
            <w:left w:w="108" w:type="dxa"/>
            <w:bottom w:w="0" w:type="dxa"/>
            <w:right w:w="108" w:type="dxa"/>
          </w:tblCellMar>
        </w:tblPrEx>
        <w:trPr>
          <w:trHeight w:val="361" w:hRule="atLeast"/>
        </w:trPr>
        <w:tc>
          <w:tcPr>
            <w:tcW w:w="2268" w:type="dxa"/>
            <w:tcBorders>
              <w:top w:val="single" w:color="auto" w:sz="4" w:space="0"/>
              <w:left w:val="single" w:color="auto" w:sz="4" w:space="0"/>
              <w:bottom w:val="single" w:color="auto" w:sz="4" w:space="0"/>
              <w:right w:val="single" w:color="auto" w:sz="4" w:space="0"/>
            </w:tcBorders>
          </w:tcPr>
          <w:p w14:paraId="330C70E4">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цены 1 минуты разговора</w:t>
            </w:r>
          </w:p>
        </w:tc>
        <w:tc>
          <w:tcPr>
            <w:tcW w:w="12899" w:type="dxa"/>
            <w:gridSpan w:val="7"/>
            <w:tcBorders>
              <w:top w:val="single" w:color="auto" w:sz="4" w:space="0"/>
              <w:left w:val="single" w:color="auto" w:sz="4" w:space="0"/>
              <w:bottom w:val="single" w:color="auto" w:sz="4" w:space="0"/>
              <w:right w:val="single" w:color="auto" w:sz="4" w:space="0"/>
            </w:tcBorders>
            <w:shd w:val="clear" w:color="auto" w:fill="auto"/>
          </w:tcPr>
          <w:p w14:paraId="7F53B65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в соответствии с тарифом за 1 минуту</w:t>
            </w:r>
          </w:p>
        </w:tc>
      </w:tr>
      <w:tr w14:paraId="41DABBB9">
        <w:tblPrEx>
          <w:tblCellMar>
            <w:top w:w="0" w:type="dxa"/>
            <w:left w:w="108" w:type="dxa"/>
            <w:bottom w:w="0" w:type="dxa"/>
            <w:right w:w="108" w:type="dxa"/>
          </w:tblCellMar>
        </w:tblPrEx>
        <w:trPr>
          <w:trHeight w:val="137" w:hRule="atLeast"/>
        </w:trPr>
        <w:tc>
          <w:tcPr>
            <w:tcW w:w="2268" w:type="dxa"/>
            <w:tcBorders>
              <w:top w:val="single" w:color="auto" w:sz="4" w:space="0"/>
              <w:left w:val="single" w:color="auto" w:sz="4" w:space="0"/>
              <w:bottom w:val="single" w:color="auto" w:sz="4" w:space="0"/>
              <w:right w:val="single" w:color="auto" w:sz="4" w:space="0"/>
            </w:tcBorders>
          </w:tcPr>
          <w:p w14:paraId="3791BFBB">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Междугороднее соединение</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6D753F66">
            <w:pPr>
              <w:spacing w:after="0" w:line="240" w:lineRule="auto"/>
              <w:ind w:left="-113" w:right="-88"/>
              <w:jc w:val="center"/>
              <w:rPr>
                <w:rFonts w:ascii="Times New Roman" w:hAnsi="Times New Roman" w:cs="Times New Roman"/>
                <w:sz w:val="18"/>
                <w:szCs w:val="18"/>
              </w:rPr>
            </w:pPr>
          </w:p>
        </w:tc>
        <w:tc>
          <w:tcPr>
            <w:tcW w:w="2000" w:type="dxa"/>
            <w:tcBorders>
              <w:top w:val="single" w:color="auto" w:sz="4" w:space="0"/>
              <w:left w:val="single" w:color="auto" w:sz="4" w:space="0"/>
              <w:bottom w:val="single" w:color="auto" w:sz="4" w:space="0"/>
              <w:right w:val="single" w:color="auto" w:sz="4" w:space="0"/>
            </w:tcBorders>
            <w:shd w:val="clear" w:color="auto" w:fill="auto"/>
          </w:tcPr>
          <w:p w14:paraId="460E1D6C">
            <w:pPr>
              <w:spacing w:after="0" w:line="240" w:lineRule="auto"/>
              <w:ind w:left="-113" w:right="-88"/>
              <w:jc w:val="center"/>
              <w:rPr>
                <w:rFonts w:ascii="Times New Roman" w:hAnsi="Times New Roman" w:cs="Times New Roman"/>
                <w:sz w:val="18"/>
                <w:szCs w:val="18"/>
              </w:rPr>
            </w:pPr>
          </w:p>
        </w:tc>
        <w:tc>
          <w:tcPr>
            <w:tcW w:w="1685" w:type="dxa"/>
            <w:tcBorders>
              <w:top w:val="single" w:color="auto" w:sz="4" w:space="0"/>
              <w:left w:val="single" w:color="auto" w:sz="4" w:space="0"/>
              <w:bottom w:val="single" w:color="auto" w:sz="4" w:space="0"/>
              <w:right w:val="single" w:color="auto" w:sz="4" w:space="0"/>
            </w:tcBorders>
          </w:tcPr>
          <w:p w14:paraId="268B8B55">
            <w:pPr>
              <w:spacing w:after="0" w:line="240" w:lineRule="auto"/>
              <w:ind w:left="-113" w:right="-88"/>
              <w:jc w:val="center"/>
              <w:rPr>
                <w:rFonts w:ascii="Times New Roman" w:hAnsi="Times New Roman" w:cs="Times New Roman"/>
                <w:sz w:val="18"/>
                <w:szCs w:val="18"/>
              </w:rPr>
            </w:pPr>
          </w:p>
        </w:tc>
        <w:tc>
          <w:tcPr>
            <w:tcW w:w="1843" w:type="dxa"/>
            <w:tcBorders>
              <w:top w:val="single" w:color="auto" w:sz="4" w:space="0"/>
              <w:left w:val="single" w:color="auto" w:sz="4" w:space="0"/>
              <w:bottom w:val="single" w:color="auto" w:sz="4" w:space="0"/>
              <w:right w:val="single" w:color="auto" w:sz="4" w:space="0"/>
            </w:tcBorders>
          </w:tcPr>
          <w:p w14:paraId="526D0036">
            <w:pPr>
              <w:spacing w:after="0" w:line="240" w:lineRule="auto"/>
              <w:ind w:left="-113" w:right="-88"/>
              <w:jc w:val="center"/>
              <w:rPr>
                <w:rFonts w:ascii="Times New Roman" w:hAnsi="Times New Roman" w:cs="Times New Roman"/>
                <w:sz w:val="18"/>
                <w:szCs w:val="18"/>
              </w:rPr>
            </w:pPr>
          </w:p>
        </w:tc>
        <w:tc>
          <w:tcPr>
            <w:tcW w:w="5528" w:type="dxa"/>
            <w:gridSpan w:val="3"/>
            <w:tcBorders>
              <w:top w:val="single" w:color="auto" w:sz="4" w:space="0"/>
              <w:left w:val="single" w:color="auto" w:sz="4" w:space="0"/>
              <w:bottom w:val="single" w:color="auto" w:sz="4" w:space="0"/>
              <w:right w:val="single" w:color="auto" w:sz="4" w:space="0"/>
            </w:tcBorders>
            <w:shd w:val="clear" w:color="auto" w:fill="auto"/>
          </w:tcPr>
          <w:p w14:paraId="3AAE0AA2">
            <w:pPr>
              <w:spacing w:after="0" w:line="240" w:lineRule="auto"/>
              <w:ind w:left="-113" w:right="-88"/>
              <w:jc w:val="center"/>
              <w:rPr>
                <w:rFonts w:ascii="Times New Roman" w:hAnsi="Times New Roman" w:cs="Times New Roman"/>
                <w:sz w:val="18"/>
                <w:szCs w:val="18"/>
              </w:rPr>
            </w:pPr>
          </w:p>
        </w:tc>
      </w:tr>
      <w:tr w14:paraId="31AE128B">
        <w:tblPrEx>
          <w:tblCellMar>
            <w:top w:w="0" w:type="dxa"/>
            <w:left w:w="108" w:type="dxa"/>
            <w:bottom w:w="0" w:type="dxa"/>
            <w:right w:w="108" w:type="dxa"/>
          </w:tblCellMar>
        </w:tblPrEx>
        <w:trPr>
          <w:trHeight w:val="445" w:hRule="atLeast"/>
        </w:trPr>
        <w:tc>
          <w:tcPr>
            <w:tcW w:w="2268" w:type="dxa"/>
            <w:tcBorders>
              <w:top w:val="single" w:color="auto" w:sz="4" w:space="0"/>
              <w:left w:val="single" w:color="auto" w:sz="4" w:space="0"/>
              <w:bottom w:val="single" w:color="auto" w:sz="4" w:space="0"/>
              <w:right w:val="single" w:color="auto" w:sz="4" w:space="0"/>
            </w:tcBorders>
          </w:tcPr>
          <w:p w14:paraId="7F607DFF">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33CE9F04">
            <w:pPr>
              <w:spacing w:after="0" w:line="240" w:lineRule="auto"/>
              <w:ind w:left="-113" w:right="-88"/>
              <w:jc w:val="center"/>
              <w:rPr>
                <w:rFonts w:ascii="Times New Roman" w:hAnsi="Times New Roman" w:cs="Times New Roman"/>
                <w:sz w:val="18"/>
                <w:szCs w:val="18"/>
              </w:rPr>
            </w:pPr>
          </w:p>
        </w:tc>
        <w:tc>
          <w:tcPr>
            <w:tcW w:w="2000" w:type="dxa"/>
            <w:tcBorders>
              <w:top w:val="single" w:color="auto" w:sz="4" w:space="0"/>
              <w:left w:val="single" w:color="auto" w:sz="4" w:space="0"/>
              <w:bottom w:val="single" w:color="auto" w:sz="4" w:space="0"/>
              <w:right w:val="single" w:color="auto" w:sz="4" w:space="0"/>
            </w:tcBorders>
            <w:shd w:val="clear" w:color="auto" w:fill="auto"/>
          </w:tcPr>
          <w:p w14:paraId="46743AE3">
            <w:pPr>
              <w:spacing w:after="0" w:line="240" w:lineRule="auto"/>
              <w:ind w:left="-113" w:right="-88"/>
              <w:jc w:val="center"/>
              <w:rPr>
                <w:rFonts w:ascii="Times New Roman" w:hAnsi="Times New Roman" w:cs="Times New Roman"/>
                <w:sz w:val="18"/>
                <w:szCs w:val="18"/>
              </w:rPr>
            </w:pPr>
          </w:p>
        </w:tc>
        <w:tc>
          <w:tcPr>
            <w:tcW w:w="1685" w:type="dxa"/>
            <w:tcBorders>
              <w:top w:val="single" w:color="auto" w:sz="4" w:space="0"/>
              <w:left w:val="single" w:color="auto" w:sz="4" w:space="0"/>
              <w:bottom w:val="single" w:color="auto" w:sz="4" w:space="0"/>
              <w:right w:val="single" w:color="auto" w:sz="4" w:space="0"/>
            </w:tcBorders>
          </w:tcPr>
          <w:p w14:paraId="7403E091">
            <w:pPr>
              <w:spacing w:after="0" w:line="240" w:lineRule="auto"/>
              <w:ind w:left="-113" w:right="-88"/>
              <w:jc w:val="center"/>
              <w:rPr>
                <w:rFonts w:ascii="Times New Roman" w:hAnsi="Times New Roman" w:cs="Times New Roman"/>
                <w:sz w:val="18"/>
                <w:szCs w:val="18"/>
              </w:rPr>
            </w:pPr>
          </w:p>
        </w:tc>
        <w:tc>
          <w:tcPr>
            <w:tcW w:w="1843" w:type="dxa"/>
            <w:tcBorders>
              <w:top w:val="single" w:color="auto" w:sz="4" w:space="0"/>
              <w:left w:val="single" w:color="auto" w:sz="4" w:space="0"/>
              <w:bottom w:val="single" w:color="auto" w:sz="4" w:space="0"/>
              <w:right w:val="single" w:color="auto" w:sz="4" w:space="0"/>
            </w:tcBorders>
          </w:tcPr>
          <w:p w14:paraId="53CB0D2A">
            <w:pPr>
              <w:spacing w:after="0" w:line="240" w:lineRule="auto"/>
              <w:ind w:left="-113" w:right="-88"/>
              <w:jc w:val="center"/>
              <w:rPr>
                <w:rFonts w:ascii="Times New Roman" w:hAnsi="Times New Roman" w:cs="Times New Roman"/>
                <w:sz w:val="18"/>
                <w:szCs w:val="18"/>
              </w:rPr>
            </w:pPr>
          </w:p>
        </w:tc>
        <w:tc>
          <w:tcPr>
            <w:tcW w:w="5528" w:type="dxa"/>
            <w:gridSpan w:val="3"/>
            <w:tcBorders>
              <w:top w:val="single" w:color="auto" w:sz="4" w:space="0"/>
              <w:left w:val="single" w:color="auto" w:sz="4" w:space="0"/>
              <w:bottom w:val="single" w:color="auto" w:sz="4" w:space="0"/>
              <w:right w:val="single" w:color="auto" w:sz="4" w:space="0"/>
            </w:tcBorders>
            <w:shd w:val="clear" w:color="auto" w:fill="auto"/>
          </w:tcPr>
          <w:p w14:paraId="2FC4F314">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r>
      <w:tr w14:paraId="3495C843">
        <w:tblPrEx>
          <w:tblCellMar>
            <w:top w:w="0" w:type="dxa"/>
            <w:left w:w="108" w:type="dxa"/>
            <w:bottom w:w="0" w:type="dxa"/>
            <w:right w:w="108" w:type="dxa"/>
          </w:tblCellMar>
        </w:tblPrEx>
        <w:trPr>
          <w:trHeight w:val="317" w:hRule="atLeast"/>
        </w:trPr>
        <w:tc>
          <w:tcPr>
            <w:tcW w:w="2268" w:type="dxa"/>
            <w:tcBorders>
              <w:top w:val="single" w:color="auto" w:sz="4" w:space="0"/>
              <w:left w:val="single" w:color="auto" w:sz="4" w:space="0"/>
              <w:bottom w:val="single" w:color="auto" w:sz="4" w:space="0"/>
              <w:right w:val="single" w:color="auto" w:sz="4" w:space="0"/>
            </w:tcBorders>
          </w:tcPr>
          <w:p w14:paraId="00B0DDC3">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цены 1 минуты разговора</w:t>
            </w:r>
          </w:p>
        </w:tc>
        <w:tc>
          <w:tcPr>
            <w:tcW w:w="12899" w:type="dxa"/>
            <w:gridSpan w:val="7"/>
            <w:tcBorders>
              <w:top w:val="single" w:color="auto" w:sz="4" w:space="0"/>
              <w:left w:val="single" w:color="auto" w:sz="4" w:space="0"/>
              <w:bottom w:val="single" w:color="auto" w:sz="4" w:space="0"/>
              <w:right w:val="single" w:color="auto" w:sz="4" w:space="0"/>
            </w:tcBorders>
            <w:shd w:val="clear" w:color="auto" w:fill="auto"/>
          </w:tcPr>
          <w:p w14:paraId="1C383D56">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в соответствии с тарифом за 1 минуту</w:t>
            </w:r>
          </w:p>
        </w:tc>
      </w:tr>
    </w:tbl>
    <w:p w14:paraId="16A218F0">
      <w:pPr>
        <w:tabs>
          <w:tab w:val="left" w:pos="141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Cs/>
          <w:sz w:val="24"/>
          <w:szCs w:val="24"/>
        </w:rPr>
        <w:t>Количество абонентских номеров, ежемесячная цена услуги в связи со служебной необходимостью могут быть изменены. При этом закупка услуг связи осуществляется в пределах доведенных лимитов бюджетных обязательств на обеспечение функций министерства и подведомственного ему областного казенного учреждения.</w:t>
      </w:r>
    </w:p>
    <w:p w14:paraId="11B03B88">
      <w:pPr>
        <w:pStyle w:val="8"/>
        <w:spacing w:line="360" w:lineRule="auto"/>
        <w:ind w:firstLine="709"/>
        <w:jc w:val="both"/>
        <w:rPr>
          <w:rFonts w:ascii="Times New Roman" w:hAnsi="Times New Roman" w:cs="Times New Roman"/>
          <w:sz w:val="28"/>
          <w:szCs w:val="28"/>
        </w:rPr>
      </w:pPr>
    </w:p>
    <w:p w14:paraId="3FDF0FC9">
      <w:pPr>
        <w:pStyle w:val="8"/>
        <w:spacing w:line="360" w:lineRule="auto"/>
        <w:ind w:firstLine="709"/>
        <w:jc w:val="both"/>
        <w:rPr>
          <w:rFonts w:ascii="Times New Roman" w:hAnsi="Times New Roman" w:cs="Times New Roman"/>
          <w:sz w:val="28"/>
          <w:szCs w:val="28"/>
        </w:rPr>
        <w:sectPr>
          <w:headerReference r:id="rId7" w:type="default"/>
          <w:pgSz w:w="16838" w:h="11906" w:orient="landscape"/>
          <w:pgMar w:top="1588" w:right="1418" w:bottom="567" w:left="1134" w:header="567" w:footer="709" w:gutter="0"/>
          <w:cols w:space="708" w:num="1"/>
          <w:docGrid w:linePitch="360" w:charSpace="0"/>
        </w:sectPr>
      </w:pPr>
    </w:p>
    <w:p w14:paraId="5C0EE263">
      <w:pPr>
        <w:pStyle w:val="8"/>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1.1.2. Затраты на повременную оплату местных, междугородних и международных телефонных соединений </w:t>
      </w:r>
      <w:r>
        <w:rPr>
          <w:rFonts w:ascii="Times New Roman" w:hAnsi="Times New Roman" w:cs="Times New Roman"/>
          <w:position w:val="-12"/>
          <w:sz w:val="28"/>
          <w:szCs w:val="28"/>
        </w:rPr>
        <w:drawing>
          <wp:inline distT="0" distB="0" distL="0" distR="0">
            <wp:extent cx="419100" cy="257175"/>
            <wp:effectExtent l="0" t="0" r="0" b="0"/>
            <wp:docPr id="337" name="Рисунок 22" descr="base_23792_85543_445"/>
            <wp:cNvGraphicFramePr/>
            <a:graphic xmlns:a="http://schemas.openxmlformats.org/drawingml/2006/main">
              <a:graphicData uri="http://schemas.openxmlformats.org/drawingml/2006/picture">
                <pic:pic xmlns:pic="http://schemas.openxmlformats.org/drawingml/2006/picture">
                  <pic:nvPicPr>
                    <pic:cNvPr id="337" name="Рисунок 22" descr="base_23792_85543_445"/>
                    <pic:cNvPicPr preferRelativeResize="0">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420FD126">
      <w:pPr>
        <w:pStyle w:val="8"/>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ctrlPr>
                <w:rPr>
                  <w:rFonts w:ascii="Cambria Math" w:hAnsi="Cambria Math" w:cs="Times New Roman"/>
                  <w:sz w:val="28"/>
                  <w:szCs w:val="28"/>
                </w:rPr>
              </m:ctrlPr>
            </m:e>
            <m:sub>
              <m:r>
                <m:rPr>
                  <m:sty m:val="p"/>
                </m:rPr>
                <w:rPr>
                  <w:rFonts w:ascii="Cambria Math" w:hAnsi="Cambria Math" w:cs="Times New Roman"/>
                  <w:sz w:val="28"/>
                  <w:szCs w:val="28"/>
                </w:rPr>
                <m:t>пов</m:t>
              </m:r>
              <m:ctrlPr>
                <w:rPr>
                  <w:rFonts w:ascii="Cambria Math" w:hAnsi="Cambria Math" w:cs="Times New Roman"/>
                  <w:sz w:val="28"/>
                  <w:szCs w:val="28"/>
                </w:rPr>
              </m:ctrlP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b"/>
                </m:rPr>
                <w:rPr>
                  <w:rFonts w:ascii="Cambria Math" w:hAnsi="Cambria Math" w:cs="Times New Roman"/>
                  <w:sz w:val="28"/>
                  <w:szCs w:val="28"/>
                </w:rPr>
                <m:t>g</m:t>
              </m:r>
              <m:r>
                <m:rPr>
                  <m:sty m:val="p"/>
                </m:rPr>
                <w:rPr>
                  <w:rFonts w:ascii="Cambria Math" w:hAnsi="Cambria Math" w:cs="Times New Roman"/>
                  <w:sz w:val="28"/>
                  <w:szCs w:val="28"/>
                </w:rPr>
                <m:t>=</m:t>
              </m:r>
              <m:r>
                <m:rPr>
                  <m:sty m:val="b"/>
                </m:rPr>
                <w:rPr>
                  <w:rFonts w:ascii="Cambria Math" w:hAnsi="Cambria Math" w:cs="Times New Roman"/>
                  <w:sz w:val="28"/>
                  <w:szCs w:val="28"/>
                </w:rPr>
                <m:t>1</m:t>
              </m:r>
              <m:ctrlPr>
                <w:rPr>
                  <w:rFonts w:ascii="Cambria Math" w:hAnsi="Cambria Math" w:cs="Times New Roman"/>
                  <w:sz w:val="28"/>
                  <w:szCs w:val="28"/>
                </w:rPr>
              </m:ctrlPr>
            </m:sub>
            <m:sup>
              <m:r>
                <m:rPr>
                  <m:sty m:val="b"/>
                </m:rPr>
                <w:rPr>
                  <w:rFonts w:ascii="Cambria Math" w:hAnsi="Cambria Math" w:cs="Times New Roman"/>
                  <w:sz w:val="28"/>
                  <w:szCs w:val="28"/>
                  <w:lang w:val="en-US"/>
                </w:rPr>
                <m:t>k</m:t>
              </m:r>
              <m:ctrlPr>
                <w:rPr>
                  <w:rFonts w:ascii="Cambria Math" w:hAnsi="Cambria Math" w:cs="Times New Roman"/>
                  <w:sz w:val="28"/>
                  <w:szCs w:val="28"/>
                </w:rPr>
              </m:ctrlP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ctrlPr>
                    <w:rPr>
                      <w:rFonts w:ascii="Cambria Math" w:hAnsi="Cambria Math" w:cs="Times New Roman"/>
                      <w:sz w:val="28"/>
                      <w:szCs w:val="28"/>
                    </w:rPr>
                  </m:ctrlPr>
                </m:e>
                <m:sub>
                  <m:r>
                    <m:rPr>
                      <m:sty m:val="p"/>
                    </m:rPr>
                    <w:rPr>
                      <w:rFonts w:ascii="Cambria Math" w:hAnsi="Cambria Math" w:cs="Times New Roman"/>
                      <w:sz w:val="28"/>
                      <w:szCs w:val="28"/>
                    </w:rPr>
                    <m:t>g m</m:t>
                  </m:r>
                  <m:ctrlPr>
                    <w:rPr>
                      <w:rFonts w:ascii="Cambria Math" w:hAnsi="Cambria Math" w:cs="Times New Roman"/>
                      <w:sz w:val="28"/>
                      <w:szCs w:val="28"/>
                    </w:rPr>
                  </m:ctrlP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S</m:t>
                  </m:r>
                  <m:ctrlPr>
                    <w:rPr>
                      <w:rFonts w:ascii="Cambria Math" w:hAnsi="Cambria Math" w:cs="Times New Roman"/>
                      <w:sz w:val="28"/>
                      <w:szCs w:val="28"/>
                    </w:rPr>
                  </m:ctrlPr>
                </m:e>
                <m:sub>
                  <m:r>
                    <m:rPr>
                      <m:sty m:val="p"/>
                    </m:rPr>
                    <w:rPr>
                      <w:rFonts w:ascii="Cambria Math" w:hAnsi="Cambria Math" w:cs="Times New Roman"/>
                      <w:sz w:val="28"/>
                      <w:szCs w:val="28"/>
                    </w:rPr>
                    <m:t>g m</m:t>
                  </m:r>
                  <m:ctrlPr>
                    <w:rPr>
                      <w:rFonts w:ascii="Cambria Math" w:hAnsi="Cambria Math" w:cs="Times New Roman"/>
                      <w:sz w:val="28"/>
                      <w:szCs w:val="28"/>
                    </w:rPr>
                  </m:ctrlP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P</m:t>
                  </m:r>
                  <m:ctrlPr>
                    <w:rPr>
                      <w:rFonts w:ascii="Cambria Math" w:hAnsi="Cambria Math" w:cs="Times New Roman"/>
                      <w:sz w:val="28"/>
                      <w:szCs w:val="28"/>
                    </w:rPr>
                  </m:ctrlPr>
                </m:e>
                <m:sub>
                  <m:r>
                    <m:rPr>
                      <m:sty m:val="p"/>
                    </m:rPr>
                    <w:rPr>
                      <w:rFonts w:ascii="Cambria Math" w:hAnsi="Cambria Math" w:cs="Times New Roman"/>
                      <w:sz w:val="28"/>
                      <w:szCs w:val="28"/>
                    </w:rPr>
                    <m:t>g m</m:t>
                  </m:r>
                  <m:ctrlPr>
                    <w:rPr>
                      <w:rFonts w:ascii="Cambria Math" w:hAnsi="Cambria Math" w:cs="Times New Roman"/>
                      <w:sz w:val="28"/>
                      <w:szCs w:val="28"/>
                    </w:rPr>
                  </m:ctrlP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N</m:t>
                  </m:r>
                  <m:ctrlPr>
                    <w:rPr>
                      <w:rFonts w:ascii="Cambria Math" w:hAnsi="Cambria Math" w:cs="Times New Roman"/>
                      <w:sz w:val="28"/>
                      <w:szCs w:val="28"/>
                    </w:rPr>
                  </m:ctrlPr>
                </m:e>
                <m:sub>
                  <m:r>
                    <m:rPr>
                      <m:sty m:val="p"/>
                    </m:rPr>
                    <w:rPr>
                      <w:rFonts w:ascii="Cambria Math" w:hAnsi="Cambria Math" w:cs="Times New Roman"/>
                      <w:sz w:val="28"/>
                      <w:szCs w:val="28"/>
                    </w:rPr>
                    <m:t>g m</m:t>
                  </m:r>
                  <m:ctrlPr>
                    <w:rPr>
                      <w:rFonts w:ascii="Cambria Math" w:hAnsi="Cambria Math" w:cs="Times New Roman"/>
                      <w:sz w:val="28"/>
                      <w:szCs w:val="28"/>
                    </w:rPr>
                  </m:ctrlPr>
                </m:sub>
              </m:sSub>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b"/>
                    </m:rPr>
                    <w:rPr>
                      <w:rFonts w:ascii="Cambria Math" w:hAnsi="Cambria Math" w:cs="Times New Roman"/>
                      <w:sz w:val="28"/>
                      <w:szCs w:val="28"/>
                    </w:rPr>
                    <m:t>i</m:t>
                  </m:r>
                  <m:r>
                    <m:rPr>
                      <m:sty m:val="p"/>
                    </m:rPr>
                    <w:rPr>
                      <w:rFonts w:ascii="Cambria Math" w:hAnsi="Cambria Math" w:cs="Times New Roman"/>
                      <w:sz w:val="28"/>
                      <w:szCs w:val="28"/>
                    </w:rPr>
                    <m:t>=</m:t>
                  </m:r>
                  <m:r>
                    <m:rPr>
                      <m:sty m:val="b"/>
                    </m:rPr>
                    <w:rPr>
                      <w:rFonts w:ascii="Cambria Math" w:hAnsi="Cambria Math" w:cs="Times New Roman"/>
                      <w:sz w:val="28"/>
                      <w:szCs w:val="28"/>
                    </w:rPr>
                    <m:t>1</m:t>
                  </m:r>
                  <m:ctrlPr>
                    <w:rPr>
                      <w:rFonts w:ascii="Cambria Math" w:hAnsi="Cambria Math" w:cs="Times New Roman"/>
                      <w:sz w:val="28"/>
                      <w:szCs w:val="28"/>
                    </w:rPr>
                  </m:ctrlPr>
                </m:sub>
                <m:sup>
                  <m:r>
                    <m:rPr>
                      <m:sty m:val="p"/>
                    </m:rPr>
                    <w:rPr>
                      <w:rFonts w:ascii="Cambria Math" w:hAnsi="Cambria Math" w:cs="Times New Roman"/>
                      <w:sz w:val="28"/>
                      <w:szCs w:val="28"/>
                    </w:rPr>
                    <m:t>n</m:t>
                  </m:r>
                  <m:ctrlPr>
                    <w:rPr>
                      <w:rFonts w:ascii="Cambria Math" w:hAnsi="Cambria Math" w:cs="Times New Roman"/>
                      <w:sz w:val="28"/>
                      <w:szCs w:val="28"/>
                    </w:rPr>
                  </m:ctrlP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ctrlPr>
                        <w:rPr>
                          <w:rFonts w:ascii="Cambria Math" w:hAnsi="Cambria Math" w:cs="Times New Roman"/>
                          <w:sz w:val="28"/>
                          <w:szCs w:val="28"/>
                        </w:rPr>
                      </m:ctrlPr>
                    </m:e>
                    <m:sub>
                      <m:r>
                        <m:rPr>
                          <m:sty m:val="p"/>
                        </m:rPr>
                        <w:rPr>
                          <w:rFonts w:ascii="Cambria Math" w:hAnsi="Cambria Math" w:cs="Times New Roman"/>
                          <w:sz w:val="28"/>
                          <w:szCs w:val="28"/>
                        </w:rPr>
                        <m:t>i мг</m:t>
                      </m:r>
                      <m:ctrlPr>
                        <w:rPr>
                          <w:rFonts w:ascii="Cambria Math" w:hAnsi="Cambria Math" w:cs="Times New Roman"/>
                          <w:sz w:val="28"/>
                          <w:szCs w:val="28"/>
                        </w:rPr>
                      </m:ctrlP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S</m:t>
                      </m:r>
                      <m:ctrlPr>
                        <w:rPr>
                          <w:rFonts w:ascii="Cambria Math" w:hAnsi="Cambria Math" w:cs="Times New Roman"/>
                          <w:sz w:val="28"/>
                          <w:szCs w:val="28"/>
                        </w:rPr>
                      </m:ctrlP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мг</m:t>
                      </m:r>
                      <m:ctrlPr>
                        <w:rPr>
                          <w:rFonts w:ascii="Cambria Math" w:hAnsi="Cambria Math" w:cs="Times New Roman"/>
                          <w:sz w:val="28"/>
                          <w:szCs w:val="28"/>
                        </w:rPr>
                      </m:ctrlP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P</m:t>
                      </m:r>
                      <m:ctrlPr>
                        <w:rPr>
                          <w:rFonts w:ascii="Cambria Math" w:hAnsi="Cambria Math" w:cs="Times New Roman"/>
                          <w:sz w:val="28"/>
                          <w:szCs w:val="28"/>
                        </w:rPr>
                      </m:ctrlP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мг</m:t>
                      </m:r>
                      <m:ctrlPr>
                        <w:rPr>
                          <w:rFonts w:ascii="Cambria Math" w:hAnsi="Cambria Math" w:cs="Times New Roman"/>
                          <w:sz w:val="28"/>
                          <w:szCs w:val="28"/>
                        </w:rPr>
                      </m:ctrlP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ctrlPr>
                        <w:rPr>
                          <w:rFonts w:ascii="Cambria Math" w:hAnsi="Cambria Math" w:cs="Times New Roman"/>
                          <w:sz w:val="28"/>
                          <w:szCs w:val="28"/>
                        </w:rPr>
                      </m:ctrlPr>
                    </m:e>
                    <m:sub>
                      <m:r>
                        <m:rPr>
                          <m:sty m:val="p"/>
                        </m:rPr>
                        <w:rPr>
                          <w:rFonts w:ascii="Cambria Math" w:hAnsi="Cambria Math" w:cs="Times New Roman"/>
                          <w:sz w:val="28"/>
                          <w:szCs w:val="28"/>
                        </w:rPr>
                        <m:t>i мг</m:t>
                      </m:r>
                      <m:ctrlPr>
                        <w:rPr>
                          <w:rFonts w:ascii="Cambria Math" w:hAnsi="Cambria Math" w:cs="Times New Roman"/>
                          <w:sz w:val="28"/>
                          <w:szCs w:val="28"/>
                        </w:rPr>
                      </m:ctrlPr>
                    </m:sub>
                  </m:sSub>
                  <m:r>
                    <m:rPr>
                      <m:sty m:val="p"/>
                    </m:rPr>
                    <w:rPr>
                      <w:rFonts w:ascii="Cambria Math" w:hAnsi="Cambria Math" w:cs="Times New Roman"/>
                      <w:sz w:val="28"/>
                      <w:szCs w:val="28"/>
                    </w:rPr>
                    <m:t>+</m:t>
                  </m:r>
                  <m:ctrlPr>
                    <w:rPr>
                      <w:rFonts w:ascii="Cambria Math" w:hAnsi="Cambria Math" w:cs="Times New Roman"/>
                      <w:sz w:val="28"/>
                      <w:szCs w:val="28"/>
                    </w:rPr>
                  </m:ctrlPr>
                </m:e>
              </m:nary>
              <m:ctrlPr>
                <w:rPr>
                  <w:rFonts w:ascii="Cambria Math" w:hAnsi="Cambria Math" w:cs="Times New Roman"/>
                  <w:sz w:val="28"/>
                  <w:szCs w:val="28"/>
                </w:rPr>
              </m:ctrlPr>
            </m:e>
          </m:nary>
        </m:oMath>
      </m:oMathPara>
    </w:p>
    <w:p w14:paraId="73D768D5">
      <w:pPr>
        <w:pStyle w:val="8"/>
        <w:spacing w:line="360" w:lineRule="auto"/>
        <w:ind w:firstLine="709"/>
        <w:jc w:val="both"/>
        <w:rPr>
          <w:rFonts w:ascii="Times New Roman" w:hAnsi="Times New Roman" w:cs="Times New Roman"/>
          <w:sz w:val="28"/>
          <w:szCs w:val="28"/>
        </w:rPr>
      </w:pPr>
      <m:oMathPara>
        <m:oMath>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j=</m:t>
              </m:r>
              <m:r>
                <m:rPr>
                  <m:sty m:val="b"/>
                </m:rPr>
                <w:rPr>
                  <w:rFonts w:ascii="Cambria Math" w:hAnsi="Cambria Math" w:cs="Times New Roman"/>
                  <w:sz w:val="28"/>
                  <w:szCs w:val="28"/>
                </w:rPr>
                <m:t>1</m:t>
              </m:r>
              <m:ctrlPr>
                <w:rPr>
                  <w:rFonts w:ascii="Cambria Math" w:hAnsi="Cambria Math" w:cs="Times New Roman"/>
                  <w:sz w:val="28"/>
                  <w:szCs w:val="28"/>
                </w:rPr>
              </m:ctrlPr>
            </m:sub>
            <m:sup>
              <m:r>
                <m:rPr>
                  <m:sty m:val="p"/>
                </m:rPr>
                <w:rPr>
                  <w:rFonts w:ascii="Cambria Math" w:hAnsi="Cambria Math" w:cs="Times New Roman"/>
                  <w:sz w:val="28"/>
                  <w:szCs w:val="28"/>
                  <w:lang w:val="en-US"/>
                </w:rPr>
                <m:t>m</m:t>
              </m:r>
              <m:ctrlPr>
                <w:rPr>
                  <w:rFonts w:ascii="Cambria Math" w:hAnsi="Cambria Math" w:cs="Times New Roman"/>
                  <w:sz w:val="28"/>
                  <w:szCs w:val="28"/>
                </w:rPr>
              </m:ctrlP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ctrlPr>
                    <w:rPr>
                      <w:rFonts w:ascii="Cambria Math" w:hAnsi="Cambria Math" w:cs="Times New Roman"/>
                      <w:sz w:val="28"/>
                      <w:szCs w:val="28"/>
                    </w:rPr>
                  </m:ctrlPr>
                </m:e>
                <m:sub>
                  <m:r>
                    <m:rPr>
                      <m:sty m:val="p"/>
                    </m:rPr>
                    <w:rPr>
                      <w:rFonts w:ascii="Cambria Math" w:hAnsi="Cambria Math" w:cs="Times New Roman"/>
                      <w:sz w:val="28"/>
                      <w:szCs w:val="28"/>
                    </w:rPr>
                    <m:t>j мн</m:t>
                  </m:r>
                  <m:ctrlPr>
                    <w:rPr>
                      <w:rFonts w:ascii="Cambria Math" w:hAnsi="Cambria Math" w:cs="Times New Roman"/>
                      <w:sz w:val="28"/>
                      <w:szCs w:val="28"/>
                    </w:rPr>
                  </m:ctrlP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S</m:t>
                  </m:r>
                  <m:ctrlPr>
                    <w:rPr>
                      <w:rFonts w:ascii="Cambria Math" w:hAnsi="Cambria Math" w:cs="Times New Roman"/>
                      <w:sz w:val="28"/>
                      <w:szCs w:val="28"/>
                    </w:rPr>
                  </m:ctrlPr>
                </m:e>
                <m:sub>
                  <m:r>
                    <m:rPr>
                      <m:sty m:val="p"/>
                    </m:rPr>
                    <w:rPr>
                      <w:rFonts w:ascii="Cambria Math" w:hAnsi="Cambria Math" w:cs="Times New Roman"/>
                      <w:sz w:val="28"/>
                      <w:szCs w:val="28"/>
                      <w:lang w:val="en-US"/>
                    </w:rPr>
                    <m:t>j</m:t>
                  </m:r>
                  <m:r>
                    <m:rPr>
                      <m:sty m:val="p"/>
                    </m:rPr>
                    <w:rPr>
                      <w:rFonts w:ascii="Cambria Math" w:hAnsi="Cambria Math" w:cs="Times New Roman"/>
                      <w:sz w:val="28"/>
                      <w:szCs w:val="28"/>
                    </w:rPr>
                    <m:t xml:space="preserve"> мн</m:t>
                  </m:r>
                  <m:ctrlPr>
                    <w:rPr>
                      <w:rFonts w:ascii="Cambria Math" w:hAnsi="Cambria Math" w:cs="Times New Roman"/>
                      <w:sz w:val="28"/>
                      <w:szCs w:val="28"/>
                    </w:rPr>
                  </m:ctrlP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P</m:t>
                  </m:r>
                  <m:ctrlPr>
                    <w:rPr>
                      <w:rFonts w:ascii="Cambria Math" w:hAnsi="Cambria Math" w:cs="Times New Roman"/>
                      <w:sz w:val="28"/>
                      <w:szCs w:val="28"/>
                    </w:rPr>
                  </m:ctrlPr>
                </m:e>
                <m:sub>
                  <m:r>
                    <m:rPr>
                      <m:sty m:val="p"/>
                    </m:rPr>
                    <w:rPr>
                      <w:rFonts w:ascii="Cambria Math" w:hAnsi="Cambria Math" w:cs="Times New Roman"/>
                      <w:sz w:val="28"/>
                      <w:szCs w:val="28"/>
                      <w:lang w:val="en-US"/>
                    </w:rPr>
                    <m:t>j</m:t>
                  </m:r>
                  <m:r>
                    <m:rPr>
                      <m:sty m:val="p"/>
                    </m:rPr>
                    <w:rPr>
                      <w:rFonts w:ascii="Cambria Math" w:hAnsi="Cambria Math" w:cs="Times New Roman"/>
                      <w:sz w:val="28"/>
                      <w:szCs w:val="28"/>
                    </w:rPr>
                    <m:t xml:space="preserve"> мн</m:t>
                  </m:r>
                  <m:ctrlPr>
                    <w:rPr>
                      <w:rFonts w:ascii="Cambria Math" w:hAnsi="Cambria Math" w:cs="Times New Roman"/>
                      <w:sz w:val="28"/>
                      <w:szCs w:val="28"/>
                    </w:rPr>
                  </m:ctrlP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ctrlPr>
                    <w:rPr>
                      <w:rFonts w:ascii="Cambria Math" w:hAnsi="Cambria Math" w:cs="Times New Roman"/>
                      <w:sz w:val="28"/>
                      <w:szCs w:val="28"/>
                    </w:rPr>
                  </m:ctrlPr>
                </m:e>
                <m:sub>
                  <m:r>
                    <m:rPr>
                      <m:sty m:val="p"/>
                    </m:rPr>
                    <w:rPr>
                      <w:rFonts w:ascii="Cambria Math" w:hAnsi="Cambria Math" w:cs="Times New Roman"/>
                      <w:sz w:val="28"/>
                      <w:szCs w:val="28"/>
                    </w:rPr>
                    <m:t>j мн</m:t>
                  </m:r>
                  <m:ctrlPr>
                    <w:rPr>
                      <w:rFonts w:ascii="Cambria Math" w:hAnsi="Cambria Math" w:cs="Times New Roman"/>
                      <w:sz w:val="28"/>
                      <w:szCs w:val="28"/>
                    </w:rPr>
                  </m:ctrlPr>
                </m:sub>
              </m:sSub>
              <m:r>
                <m:rPr>
                  <m:sty m:val="p"/>
                </m:rPr>
                <w:rPr>
                  <w:rFonts w:ascii="Cambria Math" w:hAnsi="Cambria Math" w:cs="Times New Roman"/>
                  <w:sz w:val="28"/>
                  <w:szCs w:val="28"/>
                </w:rPr>
                <m:t>+</m:t>
              </m:r>
              <m:ctrlPr>
                <w:rPr>
                  <w:rFonts w:ascii="Cambria Math" w:hAnsi="Cambria Math" w:cs="Times New Roman"/>
                  <w:sz w:val="28"/>
                  <w:szCs w:val="28"/>
                </w:rPr>
              </m:ctrlPr>
            </m:e>
          </m:nary>
          <m:r>
            <m:rPr>
              <m:sty m:val="p"/>
            </m:rPr>
            <w:rPr>
              <w:rFonts w:ascii="Cambria Math" w:hAnsi="Cambria Math" w:cs="Times New Roman"/>
              <w:sz w:val="28"/>
              <w:szCs w:val="28"/>
            </w:rPr>
            <m:t>, где:</m:t>
          </m:r>
        </m:oMath>
      </m:oMathPara>
    </w:p>
    <w:p w14:paraId="29DD9EE7">
      <w:pPr>
        <w:pStyle w:val="8"/>
        <w:spacing w:line="360" w:lineRule="auto"/>
        <w:ind w:firstLine="709"/>
        <w:jc w:val="both"/>
        <w:rPr>
          <w:rFonts w:ascii="Times New Roman" w:hAnsi="Times New Roman" w:cs="Times New Roman"/>
          <w:sz w:val="28"/>
          <w:szCs w:val="28"/>
        </w:rPr>
      </w:pPr>
      <w:r>
        <w:rPr>
          <w:rFonts w:ascii="Times New Roman" w:hAnsi="Times New Roman" w:cs="Times New Roman"/>
          <w:position w:val="-14"/>
          <w:sz w:val="28"/>
          <w:szCs w:val="28"/>
        </w:rPr>
        <w:drawing>
          <wp:inline distT="0" distB="0" distL="0" distR="0">
            <wp:extent cx="333375" cy="257175"/>
            <wp:effectExtent l="0" t="0" r="0" b="0"/>
            <wp:docPr id="336" name="Рисунок 23" descr="base_23792_85543_447"/>
            <wp:cNvGraphicFramePr/>
            <a:graphic xmlns:a="http://schemas.openxmlformats.org/drawingml/2006/main">
              <a:graphicData uri="http://schemas.openxmlformats.org/drawingml/2006/picture">
                <pic:pic xmlns:pic="http://schemas.openxmlformats.org/drawingml/2006/picture">
                  <pic:nvPicPr>
                    <pic:cNvPr id="336" name="Рисунок 23" descr="base_23792_85543_447"/>
                    <pic:cNvPicPr preferRelativeResize="0">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абонентских номеров для передачи голосовой информации, используемых для местных телефонных соединений, с g-м тарифом;</w:t>
      </w:r>
    </w:p>
    <w:p w14:paraId="3625D092">
      <w:pPr>
        <w:pStyle w:val="8"/>
        <w:spacing w:line="360" w:lineRule="auto"/>
        <w:ind w:firstLine="709"/>
        <w:jc w:val="both"/>
        <w:rPr>
          <w:rFonts w:ascii="Times New Roman" w:hAnsi="Times New Roman" w:cs="Times New Roman"/>
          <w:sz w:val="28"/>
          <w:szCs w:val="28"/>
        </w:rPr>
      </w:pPr>
      <w:r>
        <w:rPr>
          <w:rFonts w:ascii="Times New Roman" w:hAnsi="Times New Roman" w:cs="Times New Roman"/>
          <w:position w:val="-14"/>
          <w:sz w:val="28"/>
          <w:szCs w:val="28"/>
        </w:rPr>
        <w:drawing>
          <wp:inline distT="0" distB="0" distL="0" distR="0">
            <wp:extent cx="314325" cy="257175"/>
            <wp:effectExtent l="0" t="0" r="0" b="0"/>
            <wp:docPr id="335" name="Рисунок 24" descr="base_23792_85543_448"/>
            <wp:cNvGraphicFramePr/>
            <a:graphic xmlns:a="http://schemas.openxmlformats.org/drawingml/2006/main">
              <a:graphicData uri="http://schemas.openxmlformats.org/drawingml/2006/picture">
                <pic:pic xmlns:pic="http://schemas.openxmlformats.org/drawingml/2006/picture">
                  <pic:nvPicPr>
                    <pic:cNvPr id="335" name="Рисунок 24" descr="base_23792_85543_448"/>
                    <pic:cNvPicPr preferRelativeResize="0">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продолжительность местных телефонных соединений в месяц в расчете на 1 абонентский номер для передачи голосовой информации по g-му тарифу;</w:t>
      </w:r>
    </w:p>
    <w:p w14:paraId="63BF43E8">
      <w:pPr>
        <w:pStyle w:val="8"/>
        <w:spacing w:line="360" w:lineRule="auto"/>
        <w:ind w:firstLine="709"/>
        <w:jc w:val="both"/>
        <w:rPr>
          <w:rFonts w:ascii="Times New Roman" w:hAnsi="Times New Roman" w:cs="Times New Roman"/>
          <w:sz w:val="28"/>
          <w:szCs w:val="28"/>
        </w:rPr>
      </w:pPr>
      <w:r>
        <w:rPr>
          <w:rFonts w:ascii="Times New Roman" w:hAnsi="Times New Roman" w:cs="Times New Roman"/>
          <w:position w:val="-14"/>
          <w:sz w:val="28"/>
          <w:szCs w:val="28"/>
        </w:rPr>
        <w:drawing>
          <wp:inline distT="0" distB="0" distL="0" distR="0">
            <wp:extent cx="295275" cy="257175"/>
            <wp:effectExtent l="0" t="0" r="0" b="0"/>
            <wp:docPr id="334" name="Рисунок 25" descr="base_23792_85543_449"/>
            <wp:cNvGraphicFramePr/>
            <a:graphic xmlns:a="http://schemas.openxmlformats.org/drawingml/2006/main">
              <a:graphicData uri="http://schemas.openxmlformats.org/drawingml/2006/picture">
                <pic:pic xmlns:pic="http://schemas.openxmlformats.org/drawingml/2006/picture">
                  <pic:nvPicPr>
                    <pic:cNvPr id="334" name="Рисунок 25" descr="base_23792_85543_449"/>
                    <pic:cNvPicPr preferRelativeResize="0">
                      <a:picLocks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–цена1 минуты разговора при местных телефонных соединениях по   g-му тарифу;</w:t>
      </w:r>
    </w:p>
    <w:p w14:paraId="3B9D1770">
      <w:pPr>
        <w:pStyle w:val="8"/>
        <w:spacing w:line="360" w:lineRule="auto"/>
        <w:ind w:firstLine="709"/>
        <w:jc w:val="both"/>
        <w:rPr>
          <w:rFonts w:ascii="Times New Roman" w:hAnsi="Times New Roman" w:cs="Times New Roman"/>
          <w:sz w:val="28"/>
          <w:szCs w:val="28"/>
        </w:rPr>
      </w:pPr>
      <w:r>
        <w:rPr>
          <w:rFonts w:ascii="Times New Roman" w:hAnsi="Times New Roman" w:cs="Times New Roman"/>
          <w:position w:val="-14"/>
          <w:sz w:val="28"/>
          <w:szCs w:val="28"/>
        </w:rPr>
        <w:drawing>
          <wp:inline distT="0" distB="0" distL="0" distR="0">
            <wp:extent cx="352425" cy="257175"/>
            <wp:effectExtent l="0" t="0" r="0" b="0"/>
            <wp:docPr id="333" name="Рисунок 26" descr="base_23792_85543_450"/>
            <wp:cNvGraphicFramePr/>
            <a:graphic xmlns:a="http://schemas.openxmlformats.org/drawingml/2006/main">
              <a:graphicData uri="http://schemas.openxmlformats.org/drawingml/2006/picture">
                <pic:pic xmlns:pic="http://schemas.openxmlformats.org/drawingml/2006/picture">
                  <pic:nvPicPr>
                    <pic:cNvPr id="333" name="Рисунок 26" descr="base_23792_85543_450"/>
                    <pic:cNvPicPr preferRelativeResize="0">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местной телефонной связи по g-му тарифу;</w:t>
      </w:r>
    </w:p>
    <w:p w14:paraId="1498FCB5">
      <w:pPr>
        <w:pStyle w:val="8"/>
        <w:spacing w:line="360" w:lineRule="auto"/>
        <w:ind w:firstLine="709"/>
        <w:jc w:val="both"/>
        <w:rPr>
          <w:rFonts w:ascii="Times New Roman" w:hAnsi="Times New Roman" w:cs="Times New Roman"/>
          <w:sz w:val="28"/>
          <w:szCs w:val="28"/>
        </w:rPr>
      </w:pPr>
      <w:r>
        <w:rPr>
          <w:rFonts w:ascii="Times New Roman" w:hAnsi="Times New Roman" w:cs="Times New Roman"/>
          <w:position w:val="-14"/>
          <w:sz w:val="28"/>
          <w:szCs w:val="28"/>
        </w:rPr>
        <w:drawing>
          <wp:inline distT="0" distB="0" distL="0" distR="0">
            <wp:extent cx="333375" cy="257175"/>
            <wp:effectExtent l="0" t="0" r="0" b="0"/>
            <wp:docPr id="332" name="Рисунок 27" descr="base_23792_85543_451"/>
            <wp:cNvGraphicFramePr/>
            <a:graphic xmlns:a="http://schemas.openxmlformats.org/drawingml/2006/main">
              <a:graphicData uri="http://schemas.openxmlformats.org/drawingml/2006/picture">
                <pic:pic xmlns:pic="http://schemas.openxmlformats.org/drawingml/2006/picture">
                  <pic:nvPicPr>
                    <pic:cNvPr id="332" name="Рисунок 27" descr="base_23792_85543_451"/>
                    <pic:cNvPicPr preferRelativeResize="0">
                      <a:picLocks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абонентских номеров для передачи голосовой информации, используемых для междугородних телефонных соединений, с i-м тарифом;</w:t>
      </w:r>
    </w:p>
    <w:p w14:paraId="4C235723">
      <w:pPr>
        <w:pStyle w:val="8"/>
        <w:spacing w:line="360" w:lineRule="auto"/>
        <w:ind w:firstLine="709"/>
        <w:jc w:val="both"/>
        <w:rPr>
          <w:rFonts w:ascii="Times New Roman" w:hAnsi="Times New Roman" w:cs="Times New Roman"/>
          <w:sz w:val="28"/>
          <w:szCs w:val="28"/>
        </w:rPr>
      </w:pPr>
      <w:r>
        <w:rPr>
          <w:rFonts w:ascii="Times New Roman" w:hAnsi="Times New Roman" w:cs="Times New Roman"/>
          <w:position w:val="-14"/>
          <w:sz w:val="28"/>
          <w:szCs w:val="28"/>
        </w:rPr>
        <w:drawing>
          <wp:inline distT="0" distB="0" distL="0" distR="0">
            <wp:extent cx="295275" cy="257175"/>
            <wp:effectExtent l="0" t="0" r="0" b="0"/>
            <wp:docPr id="331" name="Рисунок 28" descr="base_23792_85543_452"/>
            <wp:cNvGraphicFramePr/>
            <a:graphic xmlns:a="http://schemas.openxmlformats.org/drawingml/2006/main">
              <a:graphicData uri="http://schemas.openxmlformats.org/drawingml/2006/picture">
                <pic:pic xmlns:pic="http://schemas.openxmlformats.org/drawingml/2006/picture">
                  <pic:nvPicPr>
                    <pic:cNvPr id="331" name="Рисунок 28" descr="base_23792_85543_452"/>
                    <pic:cNvPicPr preferRelativeResize="0">
                      <a:picLocks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 продолжительность междугородних телефонных соединений в месяц в расчете на 1 абонентский телефонный номер для передачи голосовой информации по i-му тарифу;</w:t>
      </w:r>
    </w:p>
    <w:p w14:paraId="02D2BA14">
      <w:pPr>
        <w:pStyle w:val="8"/>
        <w:spacing w:line="360" w:lineRule="auto"/>
        <w:ind w:firstLine="709"/>
        <w:jc w:val="both"/>
        <w:rPr>
          <w:rFonts w:ascii="Times New Roman" w:hAnsi="Times New Roman" w:cs="Times New Roman"/>
          <w:sz w:val="28"/>
          <w:szCs w:val="28"/>
        </w:rPr>
      </w:pPr>
      <w:r>
        <w:rPr>
          <w:rFonts w:ascii="Times New Roman" w:hAnsi="Times New Roman" w:cs="Times New Roman"/>
          <w:position w:val="-14"/>
          <w:sz w:val="28"/>
          <w:szCs w:val="28"/>
        </w:rPr>
        <w:drawing>
          <wp:inline distT="0" distB="0" distL="0" distR="0">
            <wp:extent cx="295275" cy="257175"/>
            <wp:effectExtent l="0" t="0" r="0" b="0"/>
            <wp:docPr id="330" name="Рисунок 29" descr="base_23792_85543_453"/>
            <wp:cNvGraphicFramePr/>
            <a:graphic xmlns:a="http://schemas.openxmlformats.org/drawingml/2006/main">
              <a:graphicData uri="http://schemas.openxmlformats.org/drawingml/2006/picture">
                <pic:pic xmlns:pic="http://schemas.openxmlformats.org/drawingml/2006/picture">
                  <pic:nvPicPr>
                    <pic:cNvPr id="330" name="Рисунок 29" descr="base_23792_85543_453"/>
                    <pic:cNvPicPr preferRelativeResize="0">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–цена 1 минуты разговора при междугородних телефонных соединениях по i-му тарифу;</w:t>
      </w:r>
    </w:p>
    <w:p w14:paraId="69393501">
      <w:pPr>
        <w:pStyle w:val="8"/>
        <w:spacing w:line="360" w:lineRule="auto"/>
        <w:ind w:firstLine="709"/>
        <w:jc w:val="both"/>
        <w:rPr>
          <w:rFonts w:ascii="Times New Roman" w:hAnsi="Times New Roman" w:cs="Times New Roman"/>
          <w:sz w:val="28"/>
          <w:szCs w:val="28"/>
        </w:rPr>
      </w:pPr>
      <w:r>
        <w:rPr>
          <w:rFonts w:ascii="Times New Roman" w:hAnsi="Times New Roman" w:cs="Times New Roman"/>
          <w:position w:val="-14"/>
          <w:sz w:val="28"/>
          <w:szCs w:val="28"/>
        </w:rPr>
        <w:drawing>
          <wp:inline distT="0" distB="0" distL="0" distR="0">
            <wp:extent cx="352425" cy="257175"/>
            <wp:effectExtent l="0" t="0" r="0" b="0"/>
            <wp:docPr id="329" name="Рисунок 30" descr="base_23792_85543_454"/>
            <wp:cNvGraphicFramePr/>
            <a:graphic xmlns:a="http://schemas.openxmlformats.org/drawingml/2006/main">
              <a:graphicData uri="http://schemas.openxmlformats.org/drawingml/2006/picture">
                <pic:pic xmlns:pic="http://schemas.openxmlformats.org/drawingml/2006/picture">
                  <pic:nvPicPr>
                    <pic:cNvPr id="329" name="Рисунок 30" descr="base_23792_85543_454"/>
                    <pic:cNvPicPr preferRelativeResize="0">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междугородней телефонной связи по i-му тарифу;</w:t>
      </w:r>
    </w:p>
    <w:p w14:paraId="52B359DB">
      <w:pPr>
        <w:pStyle w:val="8"/>
        <w:spacing w:line="360" w:lineRule="auto"/>
        <w:ind w:firstLine="709"/>
        <w:jc w:val="both"/>
        <w:rPr>
          <w:rFonts w:ascii="Times New Roman" w:hAnsi="Times New Roman" w:cs="Times New Roman"/>
          <w:sz w:val="28"/>
          <w:szCs w:val="28"/>
        </w:rPr>
      </w:pPr>
      <w:r>
        <w:rPr>
          <w:rFonts w:ascii="Times New Roman" w:hAnsi="Times New Roman" w:cs="Times New Roman"/>
          <w:position w:val="-14"/>
          <w:sz w:val="28"/>
          <w:szCs w:val="28"/>
        </w:rPr>
        <w:drawing>
          <wp:inline distT="0" distB="0" distL="0" distR="0">
            <wp:extent cx="352425" cy="257175"/>
            <wp:effectExtent l="0" t="0" r="0" b="0"/>
            <wp:docPr id="328" name="Рисунок 31" descr="base_23792_85543_455"/>
            <wp:cNvGraphicFramePr/>
            <a:graphic xmlns:a="http://schemas.openxmlformats.org/drawingml/2006/main">
              <a:graphicData uri="http://schemas.openxmlformats.org/drawingml/2006/picture">
                <pic:pic xmlns:pic="http://schemas.openxmlformats.org/drawingml/2006/picture">
                  <pic:nvPicPr>
                    <pic:cNvPr id="328" name="Рисунок 31" descr="base_23792_85543_455"/>
                    <pic:cNvPicPr preferRelativeResize="0">
                      <a:picLocks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абонентских номеров для передачи голосовой информации, используемых для международных телефонных соединений, с j-м тарифом;</w:t>
      </w:r>
    </w:p>
    <w:p w14:paraId="458B0604">
      <w:pPr>
        <w:pStyle w:val="8"/>
        <w:spacing w:line="360" w:lineRule="auto"/>
        <w:ind w:firstLine="709"/>
        <w:jc w:val="both"/>
        <w:rPr>
          <w:rFonts w:ascii="Times New Roman" w:hAnsi="Times New Roman" w:cs="Times New Roman"/>
          <w:sz w:val="28"/>
          <w:szCs w:val="28"/>
        </w:rPr>
      </w:pPr>
      <w:r>
        <w:rPr>
          <w:rFonts w:ascii="Times New Roman" w:hAnsi="Times New Roman" w:cs="Times New Roman"/>
          <w:position w:val="-14"/>
          <w:sz w:val="28"/>
          <w:szCs w:val="28"/>
        </w:rPr>
        <w:drawing>
          <wp:inline distT="0" distB="0" distL="0" distR="0">
            <wp:extent cx="314325" cy="257175"/>
            <wp:effectExtent l="0" t="0" r="0" b="0"/>
            <wp:docPr id="327" name="Рисунок 32" descr="base_23792_85543_456"/>
            <wp:cNvGraphicFramePr/>
            <a:graphic xmlns:a="http://schemas.openxmlformats.org/drawingml/2006/main">
              <a:graphicData uri="http://schemas.openxmlformats.org/drawingml/2006/picture">
                <pic:pic xmlns:pic="http://schemas.openxmlformats.org/drawingml/2006/picture">
                  <pic:nvPicPr>
                    <pic:cNvPr id="327" name="Рисунок 32" descr="base_23792_85543_456"/>
                    <pic:cNvPicPr preferRelativeResize="0">
                      <a:picLocks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продолжительность международных телефонных соединений в месяц в расчете на 1 абонентский номер для передачи голосовой информации по j-му тарифу;</w:t>
      </w:r>
    </w:p>
    <w:p w14:paraId="0172B108">
      <w:pPr>
        <w:pStyle w:val="8"/>
        <w:spacing w:line="360" w:lineRule="auto"/>
        <w:ind w:firstLine="709"/>
        <w:jc w:val="both"/>
        <w:rPr>
          <w:rFonts w:ascii="Times New Roman" w:hAnsi="Times New Roman" w:cs="Times New Roman"/>
          <w:sz w:val="28"/>
          <w:szCs w:val="28"/>
        </w:rPr>
      </w:pPr>
      <w:r>
        <w:rPr>
          <w:rFonts w:ascii="Times New Roman" w:hAnsi="Times New Roman" w:cs="Times New Roman"/>
          <w:position w:val="-14"/>
          <w:sz w:val="28"/>
          <w:szCs w:val="28"/>
        </w:rPr>
        <w:drawing>
          <wp:inline distT="0" distB="0" distL="0" distR="0">
            <wp:extent cx="314325" cy="257175"/>
            <wp:effectExtent l="0" t="0" r="0" b="0"/>
            <wp:docPr id="326" name="Рисунок 33" descr="base_23792_85543_457"/>
            <wp:cNvGraphicFramePr/>
            <a:graphic xmlns:a="http://schemas.openxmlformats.org/drawingml/2006/main">
              <a:graphicData uri="http://schemas.openxmlformats.org/drawingml/2006/picture">
                <pic:pic xmlns:pic="http://schemas.openxmlformats.org/drawingml/2006/picture">
                  <pic:nvPicPr>
                    <pic:cNvPr id="326" name="Рисунок 33" descr="base_23792_85543_457"/>
                    <pic:cNvPicPr preferRelativeResize="0">
                      <a:picLocks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цена 1 минуты разговора при международных телефонных соединениях по j-му тарифу;</w:t>
      </w:r>
    </w:p>
    <w:p w14:paraId="27FE30C3">
      <w:pPr>
        <w:pStyle w:val="8"/>
        <w:spacing w:line="360" w:lineRule="auto"/>
        <w:ind w:firstLine="709"/>
        <w:jc w:val="both"/>
        <w:rPr>
          <w:rFonts w:ascii="Times New Roman" w:hAnsi="Times New Roman" w:cs="Times New Roman"/>
          <w:sz w:val="28"/>
          <w:szCs w:val="28"/>
        </w:rPr>
      </w:pPr>
      <w:r>
        <w:rPr>
          <w:rFonts w:ascii="Times New Roman" w:hAnsi="Times New Roman" w:cs="Times New Roman"/>
          <w:position w:val="-14"/>
          <w:sz w:val="28"/>
          <w:szCs w:val="28"/>
        </w:rPr>
        <w:drawing>
          <wp:inline distT="0" distB="0" distL="0" distR="0">
            <wp:extent cx="371475" cy="257175"/>
            <wp:effectExtent l="0" t="0" r="0" b="0"/>
            <wp:docPr id="325" name="Рисунок 34" descr="base_23792_85543_458"/>
            <wp:cNvGraphicFramePr/>
            <a:graphic xmlns:a="http://schemas.openxmlformats.org/drawingml/2006/main">
              <a:graphicData uri="http://schemas.openxmlformats.org/drawingml/2006/picture">
                <pic:pic xmlns:pic="http://schemas.openxmlformats.org/drawingml/2006/picture">
                  <pic:nvPicPr>
                    <pic:cNvPr id="325" name="Рисунок 34" descr="base_23792_85543_458"/>
                    <pic:cNvPicPr preferRelativeResize="0">
                      <a:picLocks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 – количество месяцев предоставления услуги международной телефонной связи по j-му тарифу.</w:t>
      </w:r>
    </w:p>
    <w:p w14:paraId="5DA16CCD">
      <w:pPr>
        <w:pStyle w:val="8"/>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w:t>
      </w:r>
    </w:p>
    <w:p w14:paraId="14D7D026">
      <w:pPr>
        <w:pStyle w:val="8"/>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1.1.3. Затраты на оплату услуг подвижной связи </w:t>
      </w:r>
      <w:r>
        <w:rPr>
          <w:rFonts w:ascii="Times New Roman" w:hAnsi="Times New Roman" w:cs="Times New Roman"/>
          <w:position w:val="-12"/>
          <w:sz w:val="28"/>
          <w:szCs w:val="28"/>
        </w:rPr>
        <w:drawing>
          <wp:inline distT="0" distB="0" distL="0" distR="0">
            <wp:extent cx="409575" cy="257175"/>
            <wp:effectExtent l="0" t="0" r="0" b="0"/>
            <wp:docPr id="324" name="Рисунок 35" descr="base_23792_85543_459"/>
            <wp:cNvGraphicFramePr/>
            <a:graphic xmlns:a="http://schemas.openxmlformats.org/drawingml/2006/main">
              <a:graphicData uri="http://schemas.openxmlformats.org/drawingml/2006/picture">
                <pic:pic xmlns:pic="http://schemas.openxmlformats.org/drawingml/2006/picture">
                  <pic:nvPicPr>
                    <pic:cNvPr id="324" name="Рисунок 35" descr="base_23792_85543_459"/>
                    <pic:cNvPicPr preferRelativeResize="0">
                      <a:picLocks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36591188">
      <w:pPr>
        <w:pStyle w:val="8"/>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ctrlPr>
                <w:rPr>
                  <w:rFonts w:ascii="Cambria Math" w:hAnsi="Cambria Math" w:cs="Times New Roman"/>
                  <w:sz w:val="28"/>
                  <w:szCs w:val="28"/>
                </w:rPr>
              </m:ctrlPr>
            </m:e>
            <m:sub>
              <m:r>
                <m:rPr>
                  <m:sty m:val="p"/>
                </m:rPr>
                <w:rPr>
                  <w:rFonts w:ascii="Cambria Math" w:hAnsi="Cambria Math" w:cs="Times New Roman"/>
                  <w:sz w:val="28"/>
                  <w:szCs w:val="28"/>
                </w:rPr>
                <m:t>сот</m:t>
              </m:r>
              <m:ctrlPr>
                <w:rPr>
                  <w:rFonts w:ascii="Cambria Math" w:hAnsi="Cambria Math" w:cs="Times New Roman"/>
                  <w:sz w:val="28"/>
                  <w:szCs w:val="28"/>
                </w:rPr>
              </m:ctrlP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b"/>
                </m:rPr>
                <w:rPr>
                  <w:rFonts w:ascii="Cambria Math" w:hAnsi="Cambria Math" w:cs="Times New Roman"/>
                  <w:sz w:val="28"/>
                  <w:szCs w:val="28"/>
                </w:rPr>
                <m:t>i</m:t>
              </m:r>
              <m:r>
                <m:rPr>
                  <m:sty m:val="p"/>
                </m:rPr>
                <w:rPr>
                  <w:rFonts w:ascii="Cambria Math" w:hAnsi="Cambria Math" w:cs="Times New Roman"/>
                  <w:sz w:val="28"/>
                  <w:szCs w:val="28"/>
                </w:rPr>
                <m:t>=</m:t>
              </m:r>
              <m:r>
                <m:rPr>
                  <m:sty m:val="b"/>
                </m:rPr>
                <w:rPr>
                  <w:rFonts w:ascii="Cambria Math" w:hAnsi="Cambria Math" w:cs="Times New Roman"/>
                  <w:sz w:val="28"/>
                  <w:szCs w:val="28"/>
                </w:rPr>
                <m:t>1</m:t>
              </m:r>
              <m:ctrlPr>
                <w:rPr>
                  <w:rFonts w:ascii="Cambria Math" w:hAnsi="Cambria Math" w:cs="Times New Roman"/>
                  <w:sz w:val="28"/>
                  <w:szCs w:val="28"/>
                </w:rPr>
              </m:ctrlPr>
            </m:sub>
            <m:sup>
              <m:r>
                <m:rPr>
                  <m:sty m:val="b"/>
                </m:rPr>
                <w:rPr>
                  <w:rFonts w:ascii="Cambria Math" w:hAnsi="Cambria Math" w:cs="Times New Roman"/>
                  <w:sz w:val="28"/>
                  <w:szCs w:val="28"/>
                  <w:lang w:val="en-US"/>
                </w:rPr>
                <m:t>n</m:t>
              </m:r>
              <m:ctrlPr>
                <w:rPr>
                  <w:rFonts w:ascii="Cambria Math" w:hAnsi="Cambria Math" w:cs="Times New Roman"/>
                  <w:sz w:val="28"/>
                  <w:szCs w:val="28"/>
                </w:rPr>
              </m:ctrlP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ctrlPr>
                    <w:rPr>
                      <w:rFonts w:ascii="Cambria Math" w:hAnsi="Cambria Math" w:cs="Times New Roman"/>
                      <w:sz w:val="28"/>
                      <w:szCs w:val="28"/>
                    </w:rPr>
                  </m:ctrlPr>
                </m:e>
                <m:sub>
                  <m:r>
                    <m:rPr>
                      <m:sty m:val="p"/>
                    </m:rPr>
                    <w:rPr>
                      <w:rFonts w:ascii="Cambria Math" w:hAnsi="Cambria Math" w:cs="Times New Roman"/>
                      <w:sz w:val="28"/>
                      <w:szCs w:val="28"/>
                    </w:rPr>
                    <m:t>i сот</m:t>
                  </m:r>
                  <m:ctrlPr>
                    <w:rPr>
                      <w:rFonts w:ascii="Cambria Math" w:hAnsi="Cambria Math" w:cs="Times New Roman"/>
                      <w:sz w:val="28"/>
                      <w:szCs w:val="28"/>
                    </w:rPr>
                  </m:ctrlP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ctrlPr>
                    <w:rPr>
                      <w:rFonts w:ascii="Cambria Math" w:hAnsi="Cambria Math" w:cs="Times New Roman"/>
                      <w:sz w:val="28"/>
                      <w:szCs w:val="28"/>
                    </w:rPr>
                  </m:ctrlPr>
                </m:e>
                <m:sub>
                  <m:r>
                    <m:rPr>
                      <m:sty m:val="b"/>
                    </m:rPr>
                    <w:rPr>
                      <w:rFonts w:ascii="Cambria Math" w:hAnsi="Cambria Math" w:cs="Times New Roman"/>
                      <w:sz w:val="28"/>
                      <w:szCs w:val="28"/>
                    </w:rPr>
                    <m:t>i</m:t>
                  </m:r>
                  <m:r>
                    <m:rPr>
                      <m:sty m:val="p"/>
                    </m:rPr>
                    <w:rPr>
                      <w:rFonts w:ascii="Cambria Math" w:hAnsi="Cambria Math" w:cs="Times New Roman"/>
                      <w:sz w:val="28"/>
                      <w:szCs w:val="28"/>
                    </w:rPr>
                    <m:t xml:space="preserve"> сот</m:t>
                  </m:r>
                  <m:ctrlPr>
                    <w:rPr>
                      <w:rFonts w:ascii="Cambria Math" w:hAnsi="Cambria Math" w:cs="Times New Roman"/>
                      <w:sz w:val="28"/>
                      <w:szCs w:val="28"/>
                    </w:rPr>
                  </m:ctrlP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ctrlPr>
                    <w:rPr>
                      <w:rFonts w:ascii="Cambria Math" w:hAnsi="Cambria Math" w:cs="Times New Roman"/>
                      <w:sz w:val="28"/>
                      <w:szCs w:val="28"/>
                    </w:rPr>
                  </m:ctrlPr>
                </m:e>
                <m:sub>
                  <m:r>
                    <m:rPr>
                      <m:sty m:val="p"/>
                    </m:rPr>
                    <w:rPr>
                      <w:rFonts w:ascii="Cambria Math" w:hAnsi="Cambria Math" w:cs="Times New Roman"/>
                      <w:sz w:val="28"/>
                      <w:szCs w:val="28"/>
                    </w:rPr>
                    <m:t>i сот</m:t>
                  </m:r>
                  <m:ctrlPr>
                    <w:rPr>
                      <w:rFonts w:ascii="Cambria Math" w:hAnsi="Cambria Math" w:cs="Times New Roman"/>
                      <w:sz w:val="28"/>
                      <w:szCs w:val="28"/>
                    </w:rPr>
                  </m:ctrlPr>
                </m:sub>
              </m:sSub>
              <m:ctrlPr>
                <w:rPr>
                  <w:rFonts w:ascii="Cambria Math" w:hAnsi="Cambria Math" w:cs="Times New Roman"/>
                  <w:sz w:val="28"/>
                  <w:szCs w:val="28"/>
                </w:rPr>
              </m:ctrlPr>
            </m:e>
          </m:nary>
          <m:r>
            <m:rPr>
              <m:sty m:val="p"/>
            </m:rPr>
            <w:rPr>
              <w:rFonts w:ascii="Cambria Math" w:hAnsi="Cambria Math" w:cs="Times New Roman"/>
              <w:sz w:val="28"/>
              <w:szCs w:val="28"/>
            </w:rPr>
            <m:t>, где:</m:t>
          </m:r>
        </m:oMath>
      </m:oMathPara>
    </w:p>
    <w:p w14:paraId="12024C13">
      <w:pPr>
        <w:pStyle w:val="8"/>
        <w:spacing w:line="360" w:lineRule="auto"/>
        <w:ind w:firstLine="709"/>
        <w:jc w:val="both"/>
        <w:rPr>
          <w:rFonts w:ascii="Times New Roman" w:hAnsi="Times New Roman" w:cs="Times New Roman"/>
          <w:sz w:val="28"/>
          <w:szCs w:val="28"/>
        </w:rPr>
      </w:pPr>
      <w:r>
        <w:rPr>
          <w:rFonts w:ascii="Times New Roman" w:hAnsi="Times New Roman" w:cs="Times New Roman"/>
          <w:position w:val="-14"/>
          <w:sz w:val="28"/>
          <w:szCs w:val="28"/>
        </w:rPr>
        <w:drawing>
          <wp:inline distT="0" distB="0" distL="0" distR="0">
            <wp:extent cx="371475" cy="257175"/>
            <wp:effectExtent l="0" t="0" r="0" b="0"/>
            <wp:docPr id="323" name="Рисунок 36" descr="base_23792_85543_461"/>
            <wp:cNvGraphicFramePr/>
            <a:graphic xmlns:a="http://schemas.openxmlformats.org/drawingml/2006/main">
              <a:graphicData uri="http://schemas.openxmlformats.org/drawingml/2006/picture">
                <pic:pic xmlns:pic="http://schemas.openxmlformats.org/drawingml/2006/picture">
                  <pic:nvPicPr>
                    <pic:cNvPr id="323" name="Рисунок 36" descr="base_23792_85543_461"/>
                    <pic:cNvPicPr preferRelativeResize="0">
                      <a:picLocks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количество абонентских номеров пользовательского (оконечного) оборудования, подключенного к сети подвижной связи (далее – номер абонентской станции) по i-й должности;</w:t>
      </w:r>
    </w:p>
    <w:p w14:paraId="7D2D3B2F">
      <w:pPr>
        <w:pStyle w:val="8"/>
        <w:spacing w:line="360" w:lineRule="auto"/>
        <w:ind w:firstLine="709"/>
        <w:jc w:val="both"/>
        <w:rPr>
          <w:rFonts w:ascii="Times New Roman" w:hAnsi="Times New Roman" w:cs="Times New Roman"/>
          <w:sz w:val="28"/>
          <w:szCs w:val="28"/>
        </w:rPr>
      </w:pPr>
      <w:r>
        <w:rPr>
          <w:rFonts w:ascii="Times New Roman" w:hAnsi="Times New Roman" w:cs="Times New Roman"/>
          <w:position w:val="-14"/>
          <w:sz w:val="28"/>
          <w:szCs w:val="28"/>
        </w:rPr>
        <w:drawing>
          <wp:inline distT="0" distB="0" distL="0" distR="0">
            <wp:extent cx="314325" cy="257175"/>
            <wp:effectExtent l="0" t="0" r="0" b="0"/>
            <wp:docPr id="322" name="Рисунок 37" descr="base_23792_85543_462"/>
            <wp:cNvGraphicFramePr/>
            <a:graphic xmlns:a="http://schemas.openxmlformats.org/drawingml/2006/main">
              <a:graphicData uri="http://schemas.openxmlformats.org/drawingml/2006/picture">
                <pic:pic xmlns:pic="http://schemas.openxmlformats.org/drawingml/2006/picture">
                  <pic:nvPicPr>
                    <pic:cNvPr id="322" name="Рисунок 37" descr="base_23792_85543_462"/>
                    <pic:cNvPicPr preferRelativeResize="0">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ежемесячная цена услуги подвижной связи в расчете на 1 номер сотовой абонентской станции i-й должности;</w:t>
      </w:r>
    </w:p>
    <w:p w14:paraId="4B446273">
      <w:pPr>
        <w:pStyle w:val="8"/>
        <w:spacing w:line="360" w:lineRule="auto"/>
        <w:ind w:firstLine="709"/>
        <w:jc w:val="both"/>
        <w:rPr>
          <w:rFonts w:ascii="Times New Roman" w:hAnsi="Times New Roman" w:cs="Times New Roman"/>
          <w:sz w:val="28"/>
          <w:szCs w:val="28"/>
        </w:rPr>
      </w:pPr>
      <w:r>
        <w:rPr>
          <w:rFonts w:ascii="Times New Roman" w:hAnsi="Times New Roman" w:cs="Times New Roman"/>
          <w:position w:val="-14"/>
          <w:sz w:val="28"/>
          <w:szCs w:val="28"/>
        </w:rPr>
        <w:drawing>
          <wp:inline distT="0" distB="0" distL="0" distR="0">
            <wp:extent cx="371475" cy="257175"/>
            <wp:effectExtent l="0" t="0" r="0" b="0"/>
            <wp:docPr id="321" name="Рисунок 38" descr="base_23792_85543_463"/>
            <wp:cNvGraphicFramePr/>
            <a:graphic xmlns:a="http://schemas.openxmlformats.org/drawingml/2006/main">
              <a:graphicData uri="http://schemas.openxmlformats.org/drawingml/2006/picture">
                <pic:pic xmlns:pic="http://schemas.openxmlformats.org/drawingml/2006/picture">
                  <pic:nvPicPr>
                    <pic:cNvPr id="321" name="Рисунок 38" descr="base_23792_85543_463"/>
                    <pic:cNvPicPr preferRelativeResize="0">
                      <a:picLocks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подвижной связи по i-й должности.</w:t>
      </w:r>
    </w:p>
    <w:p w14:paraId="1981B0AB">
      <w:pPr>
        <w:pStyle w:val="8"/>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w:t>
      </w:r>
      <w:r>
        <w:rPr>
          <w:rFonts w:ascii="Times New Roman" w:hAnsi="Times New Roman" w:cs="Times New Roman"/>
          <w:sz w:val="28"/>
          <w:szCs w:val="28"/>
          <w:lang w:val="en-US"/>
        </w:rPr>
        <w:t> </w:t>
      </w:r>
      <w:r>
        <w:rPr>
          <w:rFonts w:ascii="Times New Roman" w:hAnsi="Times New Roman" w:cs="Times New Roman"/>
          <w:sz w:val="28"/>
          <w:szCs w:val="28"/>
        </w:rPr>
        <w:t xml:space="preserve">№2.   </w:t>
      </w:r>
    </w:p>
    <w:p w14:paraId="1F635043">
      <w:pPr>
        <w:rPr>
          <w:rFonts w:ascii="Times New Roman" w:hAnsi="Times New Roman" w:eastAsia="Times New Roman" w:cs="Times New Roman"/>
          <w:sz w:val="28"/>
          <w:szCs w:val="28"/>
          <w:lang w:eastAsia="ru-RU"/>
        </w:rPr>
      </w:pPr>
    </w:p>
    <w:p w14:paraId="400AE066">
      <w:pPr>
        <w:pStyle w:val="8"/>
        <w:spacing w:line="360" w:lineRule="auto"/>
        <w:ind w:firstLine="709"/>
        <w:jc w:val="both"/>
        <w:rPr>
          <w:rFonts w:ascii="Times New Roman" w:hAnsi="Times New Roman" w:cs="Times New Roman"/>
          <w:sz w:val="28"/>
          <w:szCs w:val="28"/>
        </w:rPr>
      </w:pPr>
    </w:p>
    <w:p w14:paraId="3BE88187">
      <w:pPr>
        <w:rPr>
          <w:rFonts w:ascii="Times New Roman" w:hAnsi="Times New Roman" w:cs="Times New Roman"/>
          <w:sz w:val="28"/>
          <w:szCs w:val="28"/>
        </w:rPr>
        <w:sectPr>
          <w:pgSz w:w="11906" w:h="16838"/>
          <w:pgMar w:top="1418" w:right="567" w:bottom="1134" w:left="1588" w:header="567" w:footer="709" w:gutter="0"/>
          <w:cols w:space="708" w:num="1"/>
          <w:titlePg/>
          <w:docGrid w:linePitch="360" w:charSpace="0"/>
        </w:sectPr>
      </w:pPr>
    </w:p>
    <w:p w14:paraId="106907DC">
      <w:pPr>
        <w:widowControl w:val="0"/>
        <w:tabs>
          <w:tab w:val="left" w:pos="7235"/>
        </w:tabs>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 xml:space="preserve">       Таблица №2</w:t>
      </w:r>
    </w:p>
    <w:p w14:paraId="285F3B0C">
      <w:pPr>
        <w:widowControl w:val="0"/>
        <w:tabs>
          <w:tab w:val="left" w:pos="7235"/>
        </w:tabs>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подвижной радиотелефонной связи</w:t>
      </w:r>
    </w:p>
    <w:p w14:paraId="6868F0B5">
      <w:pPr>
        <w:widowControl w:val="0"/>
        <w:autoSpaceDE w:val="0"/>
        <w:autoSpaceDN w:val="0"/>
        <w:spacing w:after="0" w:line="360" w:lineRule="auto"/>
        <w:jc w:val="both"/>
        <w:rPr>
          <w:rFonts w:ascii="Times New Roman" w:hAnsi="Times New Roman" w:cs="Times New Roman"/>
          <w:sz w:val="28"/>
          <w:szCs w:val="28"/>
        </w:rPr>
      </w:pPr>
    </w:p>
    <w:tbl>
      <w:tblPr>
        <w:tblStyle w:val="3"/>
        <w:tblW w:w="15134" w:type="dxa"/>
        <w:tblInd w:w="0" w:type="dxa"/>
        <w:tblLayout w:type="fixed"/>
        <w:tblCellMar>
          <w:top w:w="0" w:type="dxa"/>
          <w:left w:w="108" w:type="dxa"/>
          <w:bottom w:w="0" w:type="dxa"/>
          <w:right w:w="108" w:type="dxa"/>
        </w:tblCellMar>
      </w:tblPr>
      <w:tblGrid>
        <w:gridCol w:w="2376"/>
        <w:gridCol w:w="1843"/>
        <w:gridCol w:w="1843"/>
        <w:gridCol w:w="1701"/>
        <w:gridCol w:w="1843"/>
        <w:gridCol w:w="1842"/>
        <w:gridCol w:w="1843"/>
        <w:gridCol w:w="1843"/>
      </w:tblGrid>
      <w:tr w14:paraId="118C6DB6">
        <w:tblPrEx>
          <w:tblCellMar>
            <w:top w:w="0" w:type="dxa"/>
            <w:left w:w="108" w:type="dxa"/>
            <w:bottom w:w="0" w:type="dxa"/>
            <w:right w:w="108" w:type="dxa"/>
          </w:tblCellMar>
        </w:tblPrEx>
        <w:trPr>
          <w:trHeight w:val="529" w:hRule="atLeast"/>
        </w:trPr>
        <w:tc>
          <w:tcPr>
            <w:tcW w:w="2376" w:type="dxa"/>
            <w:vMerge w:val="restart"/>
            <w:tcBorders>
              <w:top w:val="single" w:color="auto" w:sz="4" w:space="0"/>
              <w:left w:val="single" w:color="auto" w:sz="4" w:space="0"/>
              <w:bottom w:val="single" w:color="auto" w:sz="4" w:space="0"/>
              <w:right w:val="single" w:color="auto" w:sz="4" w:space="0"/>
            </w:tcBorders>
          </w:tcPr>
          <w:p w14:paraId="1CE7362F">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7230" w:type="dxa"/>
            <w:gridSpan w:val="4"/>
            <w:tcBorders>
              <w:top w:val="single" w:color="auto" w:sz="4" w:space="0"/>
              <w:left w:val="single" w:color="auto" w:sz="4" w:space="0"/>
              <w:bottom w:val="single" w:color="auto" w:sz="4" w:space="0"/>
              <w:right w:val="single" w:color="auto" w:sz="4" w:space="0"/>
            </w:tcBorders>
            <w:shd w:val="clear" w:color="auto" w:fill="auto"/>
          </w:tcPr>
          <w:p w14:paraId="6D16682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c>
          <w:tcPr>
            <w:tcW w:w="5528" w:type="dxa"/>
            <w:gridSpan w:val="3"/>
            <w:tcBorders>
              <w:top w:val="single" w:color="auto" w:sz="4" w:space="0"/>
              <w:left w:val="single" w:color="auto" w:sz="4" w:space="0"/>
              <w:bottom w:val="single" w:color="auto" w:sz="4" w:space="0"/>
              <w:right w:val="single" w:color="auto" w:sz="4" w:space="0"/>
            </w:tcBorders>
            <w:shd w:val="clear" w:color="auto" w:fill="auto"/>
          </w:tcPr>
          <w:p w14:paraId="0FA6EADA">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Подведомственное учреждение Кировское областное государственное казенное учреждение «Агентство инвестиционного развития Кировской области» </w:t>
            </w:r>
          </w:p>
        </w:tc>
      </w:tr>
      <w:tr w14:paraId="02F0B824">
        <w:tblPrEx>
          <w:tblCellMar>
            <w:top w:w="0" w:type="dxa"/>
            <w:left w:w="108" w:type="dxa"/>
            <w:bottom w:w="0" w:type="dxa"/>
            <w:right w:w="108" w:type="dxa"/>
          </w:tblCellMar>
        </w:tblPrEx>
        <w:trPr>
          <w:trHeight w:val="321" w:hRule="atLeast"/>
        </w:trPr>
        <w:tc>
          <w:tcPr>
            <w:tcW w:w="2376" w:type="dxa"/>
            <w:vMerge w:val="continue"/>
            <w:tcBorders>
              <w:top w:val="single" w:color="auto" w:sz="4" w:space="0"/>
              <w:left w:val="single" w:color="auto" w:sz="4" w:space="0"/>
              <w:bottom w:val="single" w:color="auto" w:sz="4" w:space="0"/>
              <w:right w:val="single" w:color="auto" w:sz="4" w:space="0"/>
            </w:tcBorders>
          </w:tcPr>
          <w:p w14:paraId="5359A1A7">
            <w:pPr>
              <w:spacing w:after="0" w:line="240" w:lineRule="auto"/>
              <w:ind w:left="-113" w:right="-88"/>
              <w:jc w:val="center"/>
              <w:rPr>
                <w:rFonts w:ascii="Times New Roman" w:hAnsi="Times New Roman" w:cs="Times New Roman"/>
                <w:sz w:val="18"/>
                <w:szCs w:val="18"/>
              </w:rPr>
            </w:pPr>
          </w:p>
        </w:tc>
        <w:tc>
          <w:tcPr>
            <w:tcW w:w="3686" w:type="dxa"/>
            <w:gridSpan w:val="2"/>
            <w:tcBorders>
              <w:top w:val="single" w:color="auto" w:sz="4" w:space="0"/>
              <w:left w:val="single" w:color="auto" w:sz="4" w:space="0"/>
              <w:bottom w:val="single" w:color="auto" w:sz="4" w:space="0"/>
              <w:right w:val="single" w:color="auto" w:sz="4" w:space="0"/>
            </w:tcBorders>
            <w:shd w:val="clear" w:color="auto" w:fill="auto"/>
          </w:tcPr>
          <w:p w14:paraId="309B68E6">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701" w:type="dxa"/>
            <w:vMerge w:val="restart"/>
            <w:tcBorders>
              <w:top w:val="single" w:color="auto" w:sz="4" w:space="0"/>
              <w:left w:val="single" w:color="auto" w:sz="4" w:space="0"/>
              <w:bottom w:val="single" w:color="auto" w:sz="4" w:space="0"/>
              <w:right w:val="single" w:color="auto" w:sz="4" w:space="0"/>
            </w:tcBorders>
            <w:shd w:val="clear" w:color="auto" w:fill="auto"/>
          </w:tcPr>
          <w:p w14:paraId="5514023D">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1843" w:type="dxa"/>
            <w:vMerge w:val="restart"/>
            <w:tcBorders>
              <w:top w:val="single" w:color="auto" w:sz="4" w:space="0"/>
              <w:left w:val="single" w:color="auto" w:sz="4" w:space="0"/>
              <w:right w:val="single" w:color="auto" w:sz="4" w:space="0"/>
            </w:tcBorders>
            <w:shd w:val="clear" w:color="auto" w:fill="auto"/>
          </w:tcPr>
          <w:p w14:paraId="7BA6D152">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c>
          <w:tcPr>
            <w:tcW w:w="3685" w:type="dxa"/>
            <w:gridSpan w:val="2"/>
            <w:tcBorders>
              <w:top w:val="single" w:color="auto" w:sz="4" w:space="0"/>
              <w:left w:val="single" w:color="auto" w:sz="4" w:space="0"/>
              <w:bottom w:val="single" w:color="auto" w:sz="4" w:space="0"/>
              <w:right w:val="single" w:color="auto" w:sz="4" w:space="0"/>
            </w:tcBorders>
            <w:shd w:val="clear" w:color="auto" w:fill="auto"/>
          </w:tcPr>
          <w:p w14:paraId="49B93DF6">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843" w:type="dxa"/>
            <w:vMerge w:val="restart"/>
            <w:tcBorders>
              <w:top w:val="single" w:color="auto" w:sz="4" w:space="0"/>
              <w:left w:val="single" w:color="auto" w:sz="4" w:space="0"/>
              <w:right w:val="single" w:color="auto" w:sz="4" w:space="0"/>
            </w:tcBorders>
            <w:shd w:val="clear" w:color="auto" w:fill="auto"/>
          </w:tcPr>
          <w:p w14:paraId="628AD3EB">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14:paraId="2AAD7FCD">
        <w:tblPrEx>
          <w:tblCellMar>
            <w:top w:w="0" w:type="dxa"/>
            <w:left w:w="108" w:type="dxa"/>
            <w:bottom w:w="0" w:type="dxa"/>
            <w:right w:w="108" w:type="dxa"/>
          </w:tblCellMar>
        </w:tblPrEx>
        <w:trPr>
          <w:trHeight w:val="699" w:hRule="atLeast"/>
        </w:trPr>
        <w:tc>
          <w:tcPr>
            <w:tcW w:w="2376" w:type="dxa"/>
            <w:vMerge w:val="continue"/>
            <w:tcBorders>
              <w:top w:val="single" w:color="auto" w:sz="4" w:space="0"/>
              <w:left w:val="single" w:color="auto" w:sz="4" w:space="0"/>
              <w:bottom w:val="single" w:color="auto" w:sz="4" w:space="0"/>
              <w:right w:val="single" w:color="auto" w:sz="4" w:space="0"/>
            </w:tcBorders>
          </w:tcPr>
          <w:p w14:paraId="67D4E16B">
            <w:pPr>
              <w:spacing w:after="0" w:line="240" w:lineRule="auto"/>
              <w:ind w:left="-113" w:right="-88"/>
              <w:jc w:val="center"/>
              <w:rPr>
                <w:rFonts w:ascii="Times New Roman" w:hAnsi="Times New Roman" w:cs="Times New Roman"/>
                <w:sz w:val="18"/>
                <w:szCs w:val="18"/>
              </w:rPr>
            </w:pP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6CD8A362">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4E00CB74">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701" w:type="dxa"/>
            <w:vMerge w:val="continue"/>
            <w:tcBorders>
              <w:top w:val="single" w:color="auto" w:sz="4" w:space="0"/>
              <w:left w:val="single" w:color="auto" w:sz="4" w:space="0"/>
              <w:bottom w:val="single" w:color="auto" w:sz="4" w:space="0"/>
              <w:right w:val="single" w:color="auto" w:sz="4" w:space="0"/>
            </w:tcBorders>
            <w:shd w:val="clear" w:color="auto" w:fill="auto"/>
          </w:tcPr>
          <w:p w14:paraId="0F8A0DDD">
            <w:pPr>
              <w:spacing w:after="0" w:line="240" w:lineRule="auto"/>
              <w:ind w:left="-113" w:right="-88"/>
              <w:jc w:val="center"/>
              <w:rPr>
                <w:rFonts w:ascii="Times New Roman" w:hAnsi="Times New Roman" w:cs="Times New Roman"/>
                <w:sz w:val="18"/>
                <w:szCs w:val="18"/>
              </w:rPr>
            </w:pPr>
          </w:p>
        </w:tc>
        <w:tc>
          <w:tcPr>
            <w:tcW w:w="1843" w:type="dxa"/>
            <w:vMerge w:val="continue"/>
            <w:tcBorders>
              <w:left w:val="single" w:color="auto" w:sz="4" w:space="0"/>
              <w:bottom w:val="single" w:color="auto" w:sz="4" w:space="0"/>
              <w:right w:val="single" w:color="auto" w:sz="4" w:space="0"/>
            </w:tcBorders>
          </w:tcPr>
          <w:p w14:paraId="3E42A044">
            <w:pPr>
              <w:spacing w:after="0" w:line="240" w:lineRule="auto"/>
              <w:ind w:left="-113" w:right="-88"/>
              <w:jc w:val="center"/>
              <w:rPr>
                <w:rFonts w:ascii="Times New Roman" w:hAnsi="Times New Roman" w:cs="Times New Roman"/>
                <w:sz w:val="18"/>
                <w:szCs w:val="18"/>
              </w:rPr>
            </w:pPr>
          </w:p>
        </w:tc>
        <w:tc>
          <w:tcPr>
            <w:tcW w:w="1842" w:type="dxa"/>
            <w:tcBorders>
              <w:top w:val="single" w:color="auto" w:sz="4" w:space="0"/>
              <w:left w:val="single" w:color="auto" w:sz="4" w:space="0"/>
              <w:bottom w:val="single" w:color="auto" w:sz="4" w:space="0"/>
              <w:right w:val="single" w:color="auto" w:sz="4" w:space="0"/>
            </w:tcBorders>
            <w:shd w:val="clear" w:color="auto" w:fill="auto"/>
          </w:tcPr>
          <w:p w14:paraId="1D0B2766">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4FF32D9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843" w:type="dxa"/>
            <w:vMerge w:val="continue"/>
            <w:tcBorders>
              <w:left w:val="single" w:color="auto" w:sz="4" w:space="0"/>
              <w:bottom w:val="single" w:color="auto" w:sz="4" w:space="0"/>
              <w:right w:val="single" w:color="auto" w:sz="4" w:space="0"/>
            </w:tcBorders>
            <w:shd w:val="clear" w:color="auto" w:fill="auto"/>
          </w:tcPr>
          <w:p w14:paraId="3F29339A">
            <w:pPr>
              <w:spacing w:after="0" w:line="240" w:lineRule="auto"/>
              <w:ind w:left="-113" w:right="-88"/>
              <w:jc w:val="center"/>
              <w:rPr>
                <w:rFonts w:ascii="Times New Roman" w:hAnsi="Times New Roman" w:cs="Times New Roman"/>
                <w:sz w:val="18"/>
                <w:szCs w:val="18"/>
              </w:rPr>
            </w:pPr>
          </w:p>
        </w:tc>
      </w:tr>
      <w:tr w14:paraId="75C11CB4">
        <w:tblPrEx>
          <w:tblCellMar>
            <w:top w:w="0" w:type="dxa"/>
            <w:left w:w="108" w:type="dxa"/>
            <w:bottom w:w="0" w:type="dxa"/>
            <w:right w:w="108" w:type="dxa"/>
          </w:tblCellMar>
        </w:tblPrEx>
        <w:trPr>
          <w:trHeight w:val="137" w:hRule="atLeast"/>
        </w:trPr>
        <w:tc>
          <w:tcPr>
            <w:tcW w:w="2376" w:type="dxa"/>
            <w:tcBorders>
              <w:top w:val="single" w:color="auto" w:sz="4" w:space="0"/>
              <w:left w:val="single" w:color="auto" w:sz="4" w:space="0"/>
              <w:bottom w:val="single" w:color="auto" w:sz="4" w:space="0"/>
              <w:right w:val="single" w:color="auto" w:sz="4" w:space="0"/>
            </w:tcBorders>
          </w:tcPr>
          <w:p w14:paraId="5D0CA1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48A3719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414A9955">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701" w:type="dxa"/>
            <w:tcBorders>
              <w:top w:val="single" w:color="auto" w:sz="4" w:space="0"/>
              <w:left w:val="single" w:color="auto" w:sz="4" w:space="0"/>
              <w:bottom w:val="single" w:color="auto" w:sz="4" w:space="0"/>
              <w:right w:val="single" w:color="auto" w:sz="4" w:space="0"/>
            </w:tcBorders>
          </w:tcPr>
          <w:p w14:paraId="65E9310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1843" w:type="dxa"/>
            <w:tcBorders>
              <w:top w:val="single" w:color="auto" w:sz="4" w:space="0"/>
              <w:left w:val="single" w:color="auto" w:sz="4" w:space="0"/>
              <w:bottom w:val="single" w:color="auto" w:sz="4" w:space="0"/>
              <w:right w:val="single" w:color="auto" w:sz="4" w:space="0"/>
            </w:tcBorders>
          </w:tcPr>
          <w:p w14:paraId="3E0B1A55">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1842" w:type="dxa"/>
            <w:tcBorders>
              <w:top w:val="single" w:color="auto" w:sz="4" w:space="0"/>
              <w:left w:val="single" w:color="auto" w:sz="4" w:space="0"/>
              <w:bottom w:val="single" w:color="auto" w:sz="4" w:space="0"/>
              <w:right w:val="single" w:color="auto" w:sz="4" w:space="0"/>
            </w:tcBorders>
            <w:shd w:val="clear" w:color="auto" w:fill="auto"/>
          </w:tcPr>
          <w:p w14:paraId="4AFE1694">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6</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10B51498">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7</w:t>
            </w:r>
          </w:p>
        </w:tc>
        <w:tc>
          <w:tcPr>
            <w:tcW w:w="1843" w:type="dxa"/>
            <w:tcBorders>
              <w:top w:val="single" w:color="auto" w:sz="4" w:space="0"/>
              <w:left w:val="single" w:color="auto" w:sz="4" w:space="0"/>
              <w:bottom w:val="single" w:color="auto" w:sz="4" w:space="0"/>
              <w:right w:val="single" w:color="auto" w:sz="4" w:space="0"/>
            </w:tcBorders>
          </w:tcPr>
          <w:p w14:paraId="0DE3C31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8</w:t>
            </w:r>
          </w:p>
        </w:tc>
      </w:tr>
      <w:tr w14:paraId="478222C7">
        <w:tblPrEx>
          <w:tblCellMar>
            <w:top w:w="0" w:type="dxa"/>
            <w:left w:w="108" w:type="dxa"/>
            <w:bottom w:w="0" w:type="dxa"/>
            <w:right w:w="108" w:type="dxa"/>
          </w:tblCellMar>
        </w:tblPrEx>
        <w:trPr>
          <w:trHeight w:val="137" w:hRule="atLeast"/>
        </w:trPr>
        <w:tc>
          <w:tcPr>
            <w:tcW w:w="2376" w:type="dxa"/>
            <w:tcBorders>
              <w:top w:val="single" w:color="auto" w:sz="4" w:space="0"/>
              <w:left w:val="single" w:color="auto" w:sz="4" w:space="0"/>
              <w:bottom w:val="single" w:color="auto" w:sz="4" w:space="0"/>
              <w:right w:val="single" w:color="auto" w:sz="4" w:space="0"/>
            </w:tcBorders>
          </w:tcPr>
          <w:p w14:paraId="0C77182F">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Подвижная связь</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4FE7810A">
            <w:pPr>
              <w:spacing w:after="0" w:line="240" w:lineRule="auto"/>
              <w:ind w:left="-113" w:right="-88"/>
              <w:jc w:val="center"/>
              <w:rPr>
                <w:rFonts w:ascii="Times New Roman" w:hAnsi="Times New Roman" w:cs="Times New Roman"/>
                <w:sz w:val="18"/>
                <w:szCs w:val="18"/>
              </w:rPr>
            </w:pP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7F4E3EC9">
            <w:pPr>
              <w:spacing w:after="0" w:line="240" w:lineRule="auto"/>
              <w:ind w:left="-113" w:right="-88"/>
              <w:jc w:val="center"/>
              <w:rPr>
                <w:rFonts w:ascii="Times New Roman" w:hAnsi="Times New Roman" w:cs="Times New Roman"/>
                <w:sz w:val="18"/>
                <w:szCs w:val="18"/>
              </w:rPr>
            </w:pPr>
          </w:p>
        </w:tc>
        <w:tc>
          <w:tcPr>
            <w:tcW w:w="1701" w:type="dxa"/>
            <w:tcBorders>
              <w:top w:val="single" w:color="auto" w:sz="4" w:space="0"/>
              <w:left w:val="single" w:color="auto" w:sz="4" w:space="0"/>
              <w:bottom w:val="single" w:color="auto" w:sz="4" w:space="0"/>
              <w:right w:val="single" w:color="auto" w:sz="4" w:space="0"/>
            </w:tcBorders>
          </w:tcPr>
          <w:p w14:paraId="77CBA345">
            <w:pPr>
              <w:spacing w:after="0" w:line="240" w:lineRule="auto"/>
              <w:ind w:left="-113" w:right="-88"/>
              <w:jc w:val="center"/>
              <w:rPr>
                <w:rFonts w:ascii="Times New Roman" w:hAnsi="Times New Roman" w:cs="Times New Roman"/>
                <w:sz w:val="18"/>
                <w:szCs w:val="18"/>
              </w:rPr>
            </w:pPr>
          </w:p>
        </w:tc>
        <w:tc>
          <w:tcPr>
            <w:tcW w:w="1843" w:type="dxa"/>
            <w:tcBorders>
              <w:top w:val="single" w:color="auto" w:sz="4" w:space="0"/>
              <w:left w:val="single" w:color="auto" w:sz="4" w:space="0"/>
              <w:bottom w:val="single" w:color="auto" w:sz="4" w:space="0"/>
              <w:right w:val="single" w:color="auto" w:sz="4" w:space="0"/>
            </w:tcBorders>
          </w:tcPr>
          <w:p w14:paraId="5A4390D1">
            <w:pPr>
              <w:spacing w:after="0" w:line="240" w:lineRule="auto"/>
              <w:ind w:left="-113" w:right="-88"/>
              <w:jc w:val="center"/>
              <w:rPr>
                <w:rFonts w:ascii="Times New Roman" w:hAnsi="Times New Roman" w:cs="Times New Roman"/>
                <w:sz w:val="18"/>
                <w:szCs w:val="18"/>
              </w:rPr>
            </w:pPr>
          </w:p>
        </w:tc>
        <w:tc>
          <w:tcPr>
            <w:tcW w:w="1842" w:type="dxa"/>
            <w:tcBorders>
              <w:top w:val="single" w:color="auto" w:sz="4" w:space="0"/>
              <w:left w:val="single" w:color="auto" w:sz="4" w:space="0"/>
              <w:bottom w:val="single" w:color="auto" w:sz="4" w:space="0"/>
              <w:right w:val="single" w:color="auto" w:sz="4" w:space="0"/>
            </w:tcBorders>
            <w:shd w:val="clear" w:color="auto" w:fill="auto"/>
          </w:tcPr>
          <w:p w14:paraId="6D177A6A">
            <w:pPr>
              <w:spacing w:after="0" w:line="240" w:lineRule="auto"/>
              <w:ind w:left="-113" w:right="-88"/>
              <w:jc w:val="center"/>
              <w:rPr>
                <w:rFonts w:ascii="Times New Roman" w:hAnsi="Times New Roman" w:cs="Times New Roman"/>
                <w:sz w:val="18"/>
                <w:szCs w:val="18"/>
              </w:rPr>
            </w:pP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38C02234">
            <w:pPr>
              <w:spacing w:after="0" w:line="240" w:lineRule="auto"/>
              <w:ind w:left="-113" w:right="-88"/>
              <w:jc w:val="center"/>
              <w:rPr>
                <w:rFonts w:ascii="Times New Roman" w:hAnsi="Times New Roman" w:cs="Times New Roman"/>
                <w:sz w:val="18"/>
                <w:szCs w:val="18"/>
              </w:rPr>
            </w:pPr>
          </w:p>
        </w:tc>
        <w:tc>
          <w:tcPr>
            <w:tcW w:w="1843" w:type="dxa"/>
            <w:tcBorders>
              <w:top w:val="single" w:color="auto" w:sz="4" w:space="0"/>
              <w:left w:val="single" w:color="auto" w:sz="4" w:space="0"/>
              <w:bottom w:val="single" w:color="auto" w:sz="4" w:space="0"/>
              <w:right w:val="single" w:color="auto" w:sz="4" w:space="0"/>
            </w:tcBorders>
          </w:tcPr>
          <w:p w14:paraId="3DECFBBC">
            <w:pPr>
              <w:spacing w:after="0" w:line="240" w:lineRule="auto"/>
              <w:ind w:left="-113" w:right="-88"/>
              <w:jc w:val="center"/>
              <w:rPr>
                <w:rFonts w:ascii="Times New Roman" w:hAnsi="Times New Roman" w:cs="Times New Roman"/>
                <w:sz w:val="18"/>
                <w:szCs w:val="18"/>
              </w:rPr>
            </w:pPr>
          </w:p>
        </w:tc>
      </w:tr>
      <w:tr w14:paraId="04A55E4B">
        <w:tblPrEx>
          <w:tblCellMar>
            <w:top w:w="0" w:type="dxa"/>
            <w:left w:w="108" w:type="dxa"/>
            <w:bottom w:w="0" w:type="dxa"/>
            <w:right w:w="108" w:type="dxa"/>
          </w:tblCellMar>
        </w:tblPrEx>
        <w:trPr>
          <w:trHeight w:val="644" w:hRule="atLeast"/>
        </w:trPr>
        <w:tc>
          <w:tcPr>
            <w:tcW w:w="2376" w:type="dxa"/>
            <w:tcBorders>
              <w:top w:val="single" w:color="auto" w:sz="4" w:space="0"/>
              <w:left w:val="single" w:color="auto" w:sz="4" w:space="0"/>
              <w:bottom w:val="single" w:color="auto" w:sz="4" w:space="0"/>
              <w:right w:val="single" w:color="auto" w:sz="4" w:space="0"/>
            </w:tcBorders>
          </w:tcPr>
          <w:p w14:paraId="667D1112">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6704C524">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3D0BDB9B">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1единицы на 1 работника</w:t>
            </w:r>
          </w:p>
        </w:tc>
        <w:tc>
          <w:tcPr>
            <w:tcW w:w="1701" w:type="dxa"/>
            <w:tcBorders>
              <w:top w:val="single" w:color="auto" w:sz="4" w:space="0"/>
              <w:left w:val="single" w:color="auto" w:sz="4" w:space="0"/>
              <w:bottom w:val="single" w:color="auto" w:sz="4" w:space="0"/>
              <w:right w:val="single" w:color="auto" w:sz="4" w:space="0"/>
            </w:tcBorders>
          </w:tcPr>
          <w:p w14:paraId="0AF4A7DF">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c>
          <w:tcPr>
            <w:tcW w:w="1843" w:type="dxa"/>
            <w:tcBorders>
              <w:top w:val="single" w:color="auto" w:sz="4" w:space="0"/>
              <w:left w:val="single" w:color="auto" w:sz="4" w:space="0"/>
              <w:bottom w:val="single" w:color="auto" w:sz="4" w:space="0"/>
              <w:right w:val="single" w:color="auto" w:sz="4" w:space="0"/>
            </w:tcBorders>
          </w:tcPr>
          <w:p w14:paraId="66D8D254">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1единицы на 1 работника</w:t>
            </w:r>
          </w:p>
        </w:tc>
        <w:tc>
          <w:tcPr>
            <w:tcW w:w="1842" w:type="dxa"/>
            <w:tcBorders>
              <w:top w:val="single" w:color="auto" w:sz="4" w:space="0"/>
              <w:left w:val="single" w:color="auto" w:sz="4" w:space="0"/>
              <w:bottom w:val="single" w:color="auto" w:sz="4" w:space="0"/>
              <w:right w:val="single" w:color="auto" w:sz="4" w:space="0"/>
            </w:tcBorders>
            <w:shd w:val="clear" w:color="auto" w:fill="auto"/>
          </w:tcPr>
          <w:p w14:paraId="2709C2D3">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3C83D81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1единицы на 1 работника</w:t>
            </w:r>
          </w:p>
        </w:tc>
        <w:tc>
          <w:tcPr>
            <w:tcW w:w="1843" w:type="dxa"/>
            <w:tcBorders>
              <w:top w:val="single" w:color="auto" w:sz="4" w:space="0"/>
              <w:left w:val="single" w:color="auto" w:sz="4" w:space="0"/>
              <w:bottom w:val="single" w:color="auto" w:sz="4" w:space="0"/>
              <w:right w:val="single" w:color="auto" w:sz="4" w:space="0"/>
            </w:tcBorders>
          </w:tcPr>
          <w:p w14:paraId="2906CAF8">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1единицы на 1 работника</w:t>
            </w:r>
          </w:p>
        </w:tc>
      </w:tr>
      <w:tr w14:paraId="65081C00">
        <w:tblPrEx>
          <w:tblCellMar>
            <w:top w:w="0" w:type="dxa"/>
            <w:left w:w="108" w:type="dxa"/>
            <w:bottom w:w="0" w:type="dxa"/>
            <w:right w:w="108" w:type="dxa"/>
          </w:tblCellMar>
        </w:tblPrEx>
        <w:trPr>
          <w:trHeight w:val="137" w:hRule="atLeast"/>
        </w:trPr>
        <w:tc>
          <w:tcPr>
            <w:tcW w:w="2376" w:type="dxa"/>
            <w:tcBorders>
              <w:top w:val="single" w:color="auto" w:sz="4" w:space="0"/>
              <w:left w:val="single" w:color="auto" w:sz="4" w:space="0"/>
              <w:bottom w:val="single" w:color="auto" w:sz="4" w:space="0"/>
              <w:right w:val="single" w:color="auto" w:sz="4" w:space="0"/>
            </w:tcBorders>
          </w:tcPr>
          <w:p w14:paraId="571F20B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цены услуги на 1 номер сотовой абонентской станции* (рублей) в месяц</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6035D7AD">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2000,00 включительно в расчете на</w:t>
            </w:r>
          </w:p>
          <w:p w14:paraId="0C9FFC97">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524405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2000,00 включительно в расчете на</w:t>
            </w:r>
          </w:p>
          <w:p w14:paraId="400A2ECF">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r>
              <w:rPr>
                <w:rFonts w:ascii="Times New Roman" w:hAnsi="Times New Roman" w:cs="Times New Roman"/>
                <w:sz w:val="18"/>
                <w:szCs w:val="18"/>
                <w:lang w:val="en-US"/>
              </w:rPr>
              <w:t xml:space="preserve"> </w:t>
            </w:r>
          </w:p>
        </w:tc>
        <w:tc>
          <w:tcPr>
            <w:tcW w:w="1701" w:type="dxa"/>
            <w:tcBorders>
              <w:top w:val="single" w:color="auto" w:sz="4" w:space="0"/>
              <w:left w:val="single" w:color="auto" w:sz="4" w:space="0"/>
              <w:bottom w:val="single" w:color="auto" w:sz="4" w:space="0"/>
              <w:right w:val="single" w:color="auto" w:sz="4" w:space="0"/>
            </w:tcBorders>
          </w:tcPr>
          <w:p w14:paraId="70225F44">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2000,00 включительно в расчете на</w:t>
            </w:r>
          </w:p>
          <w:p w14:paraId="1C3764DB">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p>
        </w:tc>
        <w:tc>
          <w:tcPr>
            <w:tcW w:w="1843" w:type="dxa"/>
            <w:tcBorders>
              <w:top w:val="single" w:color="auto" w:sz="4" w:space="0"/>
              <w:left w:val="single" w:color="auto" w:sz="4" w:space="0"/>
              <w:bottom w:val="single" w:color="auto" w:sz="4" w:space="0"/>
              <w:right w:val="single" w:color="auto" w:sz="4" w:space="0"/>
            </w:tcBorders>
          </w:tcPr>
          <w:p w14:paraId="7A609197">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1000,00 включительно в расчете на</w:t>
            </w:r>
          </w:p>
          <w:p w14:paraId="1424F85B">
            <w:pPr>
              <w:spacing w:after="0" w:line="240" w:lineRule="auto"/>
              <w:ind w:left="-113" w:right="-88"/>
              <w:jc w:val="center"/>
              <w:rPr>
                <w:rFonts w:ascii="Times New Roman" w:hAnsi="Times New Roman" w:cs="Times New Roman"/>
                <w:sz w:val="18"/>
                <w:szCs w:val="18"/>
                <w:lang w:val="en-US"/>
              </w:rPr>
            </w:pPr>
            <w:r>
              <w:rPr>
                <w:rFonts w:ascii="Times New Roman" w:hAnsi="Times New Roman" w:cs="Times New Roman"/>
                <w:sz w:val="18"/>
                <w:szCs w:val="18"/>
              </w:rPr>
              <w:t>1 человека</w:t>
            </w:r>
          </w:p>
        </w:tc>
        <w:tc>
          <w:tcPr>
            <w:tcW w:w="1842" w:type="dxa"/>
            <w:tcBorders>
              <w:top w:val="single" w:color="auto" w:sz="4" w:space="0"/>
              <w:left w:val="single" w:color="auto" w:sz="4" w:space="0"/>
              <w:bottom w:val="single" w:color="auto" w:sz="4" w:space="0"/>
              <w:right w:val="single" w:color="auto" w:sz="4" w:space="0"/>
            </w:tcBorders>
            <w:shd w:val="clear" w:color="auto" w:fill="auto"/>
          </w:tcPr>
          <w:p w14:paraId="695889E2">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2000,00 включительно в расчете на</w:t>
            </w:r>
          </w:p>
          <w:p w14:paraId="04AE803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357A758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1000,00 включительно в расчете на</w:t>
            </w:r>
          </w:p>
          <w:p w14:paraId="35FBC64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p>
        </w:tc>
        <w:tc>
          <w:tcPr>
            <w:tcW w:w="1843" w:type="dxa"/>
            <w:tcBorders>
              <w:top w:val="single" w:color="auto" w:sz="4" w:space="0"/>
              <w:left w:val="single" w:color="auto" w:sz="4" w:space="0"/>
              <w:bottom w:val="single" w:color="auto" w:sz="4" w:space="0"/>
              <w:right w:val="single" w:color="auto" w:sz="4" w:space="0"/>
            </w:tcBorders>
          </w:tcPr>
          <w:p w14:paraId="16F2BD3B">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800,00 включительно в расчете на</w:t>
            </w:r>
          </w:p>
          <w:p w14:paraId="79524AAF">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p>
        </w:tc>
      </w:tr>
      <w:tr w14:paraId="1796B18F">
        <w:tblPrEx>
          <w:tblCellMar>
            <w:top w:w="0" w:type="dxa"/>
            <w:left w:w="108" w:type="dxa"/>
            <w:bottom w:w="0" w:type="dxa"/>
            <w:right w:w="108" w:type="dxa"/>
          </w:tblCellMar>
        </w:tblPrEx>
        <w:trPr>
          <w:trHeight w:val="137" w:hRule="atLeast"/>
        </w:trPr>
        <w:tc>
          <w:tcPr>
            <w:tcW w:w="2376" w:type="dxa"/>
            <w:tcBorders>
              <w:top w:val="single" w:color="auto" w:sz="4" w:space="0"/>
              <w:left w:val="single" w:color="auto" w:sz="4" w:space="0"/>
              <w:bottom w:val="single" w:color="auto" w:sz="4" w:space="0"/>
              <w:right w:val="single" w:color="auto" w:sz="4" w:space="0"/>
            </w:tcBorders>
          </w:tcPr>
          <w:p w14:paraId="38C67363">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Количество месяцев предоставления услуги в календарном году</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30457B6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749AE69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701" w:type="dxa"/>
            <w:tcBorders>
              <w:top w:val="single" w:color="auto" w:sz="4" w:space="0"/>
              <w:left w:val="single" w:color="auto" w:sz="4" w:space="0"/>
              <w:bottom w:val="single" w:color="auto" w:sz="4" w:space="0"/>
              <w:right w:val="single" w:color="auto" w:sz="4" w:space="0"/>
            </w:tcBorders>
          </w:tcPr>
          <w:p w14:paraId="758E25F2">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843" w:type="dxa"/>
            <w:tcBorders>
              <w:top w:val="single" w:color="auto" w:sz="4" w:space="0"/>
              <w:left w:val="single" w:color="auto" w:sz="4" w:space="0"/>
              <w:bottom w:val="single" w:color="auto" w:sz="4" w:space="0"/>
              <w:right w:val="single" w:color="auto" w:sz="4" w:space="0"/>
            </w:tcBorders>
          </w:tcPr>
          <w:p w14:paraId="69529A24">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842" w:type="dxa"/>
            <w:tcBorders>
              <w:top w:val="single" w:color="auto" w:sz="4" w:space="0"/>
              <w:left w:val="single" w:color="auto" w:sz="4" w:space="0"/>
              <w:bottom w:val="single" w:color="auto" w:sz="4" w:space="0"/>
              <w:right w:val="single" w:color="auto" w:sz="4" w:space="0"/>
            </w:tcBorders>
            <w:shd w:val="clear" w:color="auto" w:fill="auto"/>
          </w:tcPr>
          <w:p w14:paraId="20F04034">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3BDBDEA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843" w:type="dxa"/>
            <w:tcBorders>
              <w:top w:val="single" w:color="auto" w:sz="4" w:space="0"/>
              <w:left w:val="single" w:color="auto" w:sz="4" w:space="0"/>
              <w:bottom w:val="single" w:color="auto" w:sz="4" w:space="0"/>
              <w:right w:val="single" w:color="auto" w:sz="4" w:space="0"/>
            </w:tcBorders>
          </w:tcPr>
          <w:p w14:paraId="7CF9D614">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r>
    </w:tbl>
    <w:p w14:paraId="0E556562">
      <w:pPr>
        <w:tabs>
          <w:tab w:val="left" w:pos="141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Cs/>
          <w:sz w:val="24"/>
          <w:szCs w:val="24"/>
        </w:rPr>
        <w:t>Количество абонентских номеров, ежемесячная цена услуги в связи со служебной необходимостью могут быть изменены. При этом закупка услуг связи осуществляется в пределах доведенных лимитов бюджетных обязательств на обеспечение функций министерства и подведомственного ему областного казенного учреждения.</w:t>
      </w:r>
    </w:p>
    <w:p w14:paraId="53E96241">
      <w:pPr>
        <w:spacing w:after="0" w:line="360" w:lineRule="auto"/>
        <w:rPr>
          <w:rFonts w:ascii="Times New Roman" w:hAnsi="Times New Roman" w:cs="Times New Roman"/>
          <w:sz w:val="28"/>
          <w:szCs w:val="28"/>
        </w:rPr>
        <w:sectPr>
          <w:pgSz w:w="16838" w:h="11906" w:orient="landscape"/>
          <w:pgMar w:top="1588" w:right="1418" w:bottom="567" w:left="1134" w:header="567" w:footer="709" w:gutter="0"/>
          <w:cols w:space="708" w:num="1"/>
          <w:titlePg/>
          <w:docGrid w:linePitch="360" w:charSpace="0"/>
        </w:sectPr>
      </w:pPr>
      <w:r>
        <w:rPr>
          <w:rFonts w:ascii="Times New Roman" w:hAnsi="Times New Roman" w:cs="Times New Roman"/>
          <w:sz w:val="28"/>
          <w:szCs w:val="28"/>
        </w:rPr>
        <w:t xml:space="preserve"> </w:t>
      </w:r>
    </w:p>
    <w:p w14:paraId="153B5DF1">
      <w:pPr>
        <w:pStyle w:val="8"/>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1.1.4. Затраты на сеть «Интернет» и услуги Интернет-провайдеров </w:t>
      </w:r>
      <w:r>
        <w:rPr>
          <w:rFonts w:ascii="Times New Roman" w:hAnsi="Times New Roman" w:cs="Times New Roman"/>
          <w:position w:val="-10"/>
          <w:sz w:val="28"/>
          <w:szCs w:val="28"/>
        </w:rPr>
        <w:drawing>
          <wp:inline distT="0" distB="0" distL="0" distR="0">
            <wp:extent cx="314325" cy="247650"/>
            <wp:effectExtent l="0" t="0" r="0" b="0"/>
            <wp:docPr id="316" name="Рисунок 43" descr="base_23792_85543_469"/>
            <wp:cNvGraphicFramePr/>
            <a:graphic xmlns:a="http://schemas.openxmlformats.org/drawingml/2006/main">
              <a:graphicData uri="http://schemas.openxmlformats.org/drawingml/2006/picture">
                <pic:pic xmlns:pic="http://schemas.openxmlformats.org/drawingml/2006/picture">
                  <pic:nvPicPr>
                    <pic:cNvPr id="316" name="Рисунок 43" descr="base_23792_85543_469"/>
                    <pic:cNvPicPr preferRelativeResize="0">
                      <a:picLocks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314325" cy="247650"/>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18FA498">
      <w:pPr>
        <w:pStyle w:val="8"/>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ctrlPr>
                <w:rPr>
                  <w:rFonts w:ascii="Cambria Math" w:hAnsi="Cambria Math" w:cs="Times New Roman"/>
                  <w:sz w:val="28"/>
                  <w:szCs w:val="28"/>
                </w:rPr>
              </m:ctrlPr>
            </m:e>
            <m:sub>
              <m:r>
                <m:rPr>
                  <m:sty m:val="p"/>
                </m:rPr>
                <w:rPr>
                  <w:rFonts w:ascii="Cambria Math" w:hAnsi="Cambria Math" w:cs="Times New Roman"/>
                  <w:sz w:val="28"/>
                  <w:szCs w:val="28"/>
                </w:rPr>
                <m:t>и</m:t>
              </m:r>
              <m:ctrlPr>
                <w:rPr>
                  <w:rFonts w:ascii="Cambria Math" w:hAnsi="Cambria Math" w:cs="Times New Roman"/>
                  <w:sz w:val="28"/>
                  <w:szCs w:val="28"/>
                </w:rPr>
              </m:ctrlP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ctrlPr>
                <w:rPr>
                  <w:rFonts w:ascii="Cambria Math" w:hAnsi="Cambria Math" w:cs="Times New Roman"/>
                  <w:sz w:val="28"/>
                  <w:szCs w:val="28"/>
                </w:rPr>
              </m:ctrlPr>
            </m:sub>
            <m:sup>
              <m:r>
                <m:rPr>
                  <m:sty m:val="p"/>
                </m:rPr>
                <w:rPr>
                  <w:rFonts w:ascii="Cambria Math" w:hAnsi="Cambria Math" w:cs="Times New Roman"/>
                  <w:sz w:val="28"/>
                  <w:szCs w:val="28"/>
                  <w:lang w:val="en-US"/>
                </w:rPr>
                <m:t>n</m:t>
              </m:r>
              <m:ctrlPr>
                <w:rPr>
                  <w:rFonts w:ascii="Cambria Math" w:hAnsi="Cambria Math" w:cs="Times New Roman"/>
                  <w:sz w:val="28"/>
                  <w:szCs w:val="28"/>
                </w:rPr>
              </m:ctrlP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ctrlPr>
                    <w:rPr>
                      <w:rFonts w:ascii="Cambria Math" w:hAnsi="Cambria Math" w:cs="Times New Roman"/>
                      <w:sz w:val="28"/>
                      <w:szCs w:val="28"/>
                    </w:rPr>
                  </m:ctrlPr>
                </m:e>
                <m:sub>
                  <m:r>
                    <m:rPr>
                      <m:sty m:val="p"/>
                    </m:rPr>
                    <w:rPr>
                      <w:rFonts w:ascii="Cambria Math" w:hAnsi="Cambria Math" w:cs="Times New Roman"/>
                      <w:sz w:val="28"/>
                      <w:szCs w:val="28"/>
                    </w:rPr>
                    <m:t>i и</m:t>
                  </m:r>
                  <m:ctrlPr>
                    <w:rPr>
                      <w:rFonts w:ascii="Cambria Math" w:hAnsi="Cambria Math" w:cs="Times New Roman"/>
                      <w:sz w:val="28"/>
                      <w:szCs w:val="28"/>
                    </w:rPr>
                  </m:ctrlP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ctrlPr>
                    <w:rPr>
                      <w:rFonts w:ascii="Cambria Math" w:hAnsi="Cambria Math" w:cs="Times New Roman"/>
                      <w:sz w:val="28"/>
                      <w:szCs w:val="28"/>
                    </w:rPr>
                  </m:ctrlPr>
                </m:e>
                <m:sub>
                  <m:r>
                    <m:rPr>
                      <m:sty m:val="p"/>
                    </m:rPr>
                    <w:rPr>
                      <w:rFonts w:ascii="Cambria Math" w:hAnsi="Cambria Math" w:cs="Times New Roman"/>
                      <w:sz w:val="28"/>
                      <w:szCs w:val="28"/>
                    </w:rPr>
                    <m:t>i и</m:t>
                  </m:r>
                  <m:ctrlPr>
                    <w:rPr>
                      <w:rFonts w:ascii="Cambria Math" w:hAnsi="Cambria Math" w:cs="Times New Roman"/>
                      <w:sz w:val="28"/>
                      <w:szCs w:val="28"/>
                    </w:rPr>
                  </m:ctrlP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ctrlPr>
                    <w:rPr>
                      <w:rFonts w:ascii="Cambria Math" w:hAnsi="Cambria Math" w:cs="Times New Roman"/>
                      <w:sz w:val="28"/>
                      <w:szCs w:val="28"/>
                    </w:rPr>
                  </m:ctrlPr>
                </m:e>
                <m:sub>
                  <m:r>
                    <m:rPr>
                      <m:sty m:val="p"/>
                    </m:rPr>
                    <w:rPr>
                      <w:rFonts w:ascii="Cambria Math" w:hAnsi="Cambria Math" w:cs="Times New Roman"/>
                      <w:sz w:val="28"/>
                      <w:szCs w:val="28"/>
                    </w:rPr>
                    <m:t>i и</m:t>
                  </m:r>
                  <m:ctrlPr>
                    <w:rPr>
                      <w:rFonts w:ascii="Cambria Math" w:hAnsi="Cambria Math" w:cs="Times New Roman"/>
                      <w:sz w:val="28"/>
                      <w:szCs w:val="28"/>
                    </w:rPr>
                  </m:ctrlPr>
                </m:sub>
              </m:sSub>
              <m:ctrlPr>
                <w:rPr>
                  <w:rFonts w:ascii="Cambria Math" w:hAnsi="Cambria Math" w:cs="Times New Roman"/>
                  <w:sz w:val="28"/>
                  <w:szCs w:val="28"/>
                </w:rPr>
              </m:ctrlPr>
            </m:e>
          </m:nary>
          <m:r>
            <m:rPr>
              <m:sty m:val="p"/>
            </m:rPr>
            <w:rPr>
              <w:rFonts w:ascii="Cambria Math" w:hAnsi="Cambria Math" w:cs="Times New Roman"/>
              <w:sz w:val="28"/>
              <w:szCs w:val="28"/>
            </w:rPr>
            <m:t>, где:</m:t>
          </m:r>
        </m:oMath>
      </m:oMathPara>
    </w:p>
    <w:p w14:paraId="1EAA1DFB">
      <w:pPr>
        <w:pStyle w:val="8"/>
        <w:spacing w:line="360" w:lineRule="auto"/>
        <w:ind w:firstLine="709"/>
        <w:jc w:val="both"/>
        <w:rPr>
          <w:rFonts w:ascii="Times New Roman" w:hAnsi="Times New Roman" w:cs="Times New Roman"/>
          <w:sz w:val="28"/>
          <w:szCs w:val="28"/>
        </w:rPr>
      </w:pPr>
      <w:r>
        <w:rPr>
          <w:rFonts w:ascii="Times New Roman" w:hAnsi="Times New Roman" w:cs="Times New Roman"/>
          <w:position w:val="-14"/>
          <w:sz w:val="28"/>
          <w:szCs w:val="28"/>
        </w:rPr>
        <w:drawing>
          <wp:inline distT="0" distB="0" distL="0" distR="0">
            <wp:extent cx="285750" cy="257175"/>
            <wp:effectExtent l="0" t="0" r="0" b="0"/>
            <wp:docPr id="315" name="Рисунок 44" descr="base_23792_85543_471"/>
            <wp:cNvGraphicFramePr/>
            <a:graphic xmlns:a="http://schemas.openxmlformats.org/drawingml/2006/main">
              <a:graphicData uri="http://schemas.openxmlformats.org/drawingml/2006/picture">
                <pic:pic xmlns:pic="http://schemas.openxmlformats.org/drawingml/2006/picture">
                  <pic:nvPicPr>
                    <pic:cNvPr id="315" name="Рисунок 44" descr="base_23792_85543_471"/>
                    <pic:cNvPicPr preferRelativeResize="0">
                      <a:picLocks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–норматив количества каналов передачи данных сети «Интернет» с i-й пропускной способностью;</w:t>
      </w:r>
    </w:p>
    <w:p w14:paraId="7F4CF9F3">
      <w:pPr>
        <w:pStyle w:val="8"/>
        <w:spacing w:line="360" w:lineRule="auto"/>
        <w:ind w:firstLine="709"/>
        <w:jc w:val="both"/>
        <w:rPr>
          <w:rFonts w:ascii="Times New Roman" w:hAnsi="Times New Roman" w:cs="Times New Roman"/>
          <w:sz w:val="28"/>
          <w:szCs w:val="28"/>
        </w:rPr>
      </w:pPr>
      <w:r>
        <w:rPr>
          <w:rFonts w:ascii="Times New Roman" w:hAnsi="Times New Roman" w:cs="Times New Roman"/>
          <w:position w:val="-14"/>
          <w:sz w:val="28"/>
          <w:szCs w:val="28"/>
        </w:rPr>
        <w:drawing>
          <wp:inline distT="0" distB="0" distL="0" distR="0">
            <wp:extent cx="247650" cy="257175"/>
            <wp:effectExtent l="0" t="0" r="0" b="0"/>
            <wp:docPr id="314" name="Рисунок 45" descr="base_23792_85543_472"/>
            <wp:cNvGraphicFramePr/>
            <a:graphic xmlns:a="http://schemas.openxmlformats.org/drawingml/2006/main">
              <a:graphicData uri="http://schemas.openxmlformats.org/drawingml/2006/picture">
                <pic:pic xmlns:pic="http://schemas.openxmlformats.org/drawingml/2006/picture">
                  <pic:nvPicPr>
                    <pic:cNvPr id="314" name="Рисунок 45" descr="base_23792_85543_472"/>
                    <pic:cNvPicPr preferRelativeResize="0">
                      <a:picLocks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 месячная цена аренды канала передачи данных сети «Интернет» с i-й пропускной способностью;</w:t>
      </w:r>
    </w:p>
    <w:p w14:paraId="471DE254">
      <w:pPr>
        <w:pStyle w:val="8"/>
        <w:spacing w:line="360" w:lineRule="auto"/>
        <w:ind w:firstLine="709"/>
        <w:jc w:val="both"/>
        <w:rPr>
          <w:rFonts w:ascii="Times New Roman" w:hAnsi="Times New Roman" w:cs="Times New Roman"/>
          <w:sz w:val="28"/>
          <w:szCs w:val="28"/>
        </w:rPr>
      </w:pPr>
      <w:r>
        <w:rPr>
          <w:rFonts w:ascii="Times New Roman" w:hAnsi="Times New Roman" w:cs="Times New Roman"/>
          <w:position w:val="-14"/>
          <w:sz w:val="28"/>
          <w:szCs w:val="28"/>
        </w:rPr>
        <w:drawing>
          <wp:inline distT="0" distB="0" distL="0" distR="0">
            <wp:extent cx="295275" cy="257175"/>
            <wp:effectExtent l="0" t="0" r="0" b="0"/>
            <wp:docPr id="313" name="Рисунок 46" descr="base_23792_85543_473"/>
            <wp:cNvGraphicFramePr/>
            <a:graphic xmlns:a="http://schemas.openxmlformats.org/drawingml/2006/main">
              <a:graphicData uri="http://schemas.openxmlformats.org/drawingml/2006/picture">
                <pic:pic xmlns:pic="http://schemas.openxmlformats.org/drawingml/2006/picture">
                  <pic:nvPicPr>
                    <pic:cNvPr id="313" name="Рисунок 46" descr="base_23792_85543_473"/>
                    <pic:cNvPicPr preferRelativeResize="0">
                      <a:picLocks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аренды канала передачи данных сети «Интернет» с i-й пропускной способностью.</w:t>
      </w:r>
    </w:p>
    <w:p w14:paraId="60807E84">
      <w:pPr>
        <w:pStyle w:val="8"/>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№3.</w:t>
      </w:r>
    </w:p>
    <w:p w14:paraId="3C826B2A">
      <w:pPr>
        <w:widowControl w:val="0"/>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w:t>
      </w:r>
    </w:p>
    <w:p w14:paraId="72560298">
      <w:pPr>
        <w:widowControl w:val="0"/>
        <w:autoSpaceDE w:val="0"/>
        <w:autoSpaceDN w:val="0"/>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сеть «Интернет» и услуги Интернет-провайдеров</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35"/>
        <w:gridCol w:w="2435"/>
        <w:gridCol w:w="2435"/>
        <w:gridCol w:w="2436"/>
      </w:tblGrid>
      <w:tr w14:paraId="1CE95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5" w:type="dxa"/>
          </w:tcPr>
          <w:p w14:paraId="096E459F">
            <w:pPr>
              <w:pStyle w:val="8"/>
              <w:spacing w:before="120"/>
              <w:jc w:val="both"/>
              <w:rPr>
                <w:rFonts w:ascii="Times New Roman" w:hAnsi="Times New Roman" w:cs="Times New Roman"/>
                <w:sz w:val="28"/>
                <w:szCs w:val="28"/>
              </w:rPr>
            </w:pPr>
            <w:r>
              <w:rPr>
                <w:rFonts w:ascii="Times New Roman" w:hAnsi="Times New Roman" w:cs="Times New Roman"/>
                <w:sz w:val="28"/>
                <w:szCs w:val="28"/>
              </w:rPr>
              <w:t>Вид связи</w:t>
            </w:r>
          </w:p>
        </w:tc>
        <w:tc>
          <w:tcPr>
            <w:tcW w:w="2435" w:type="dxa"/>
          </w:tcPr>
          <w:p w14:paraId="6671A7E5">
            <w:pPr>
              <w:pStyle w:val="8"/>
              <w:spacing w:before="120"/>
              <w:jc w:val="both"/>
              <w:rPr>
                <w:rFonts w:ascii="Times New Roman" w:hAnsi="Times New Roman" w:cs="Times New Roman"/>
                <w:sz w:val="28"/>
                <w:szCs w:val="28"/>
              </w:rPr>
            </w:pPr>
            <w:r>
              <w:rPr>
                <w:rFonts w:ascii="Times New Roman" w:hAnsi="Times New Roman" w:cs="Times New Roman"/>
                <w:sz w:val="28"/>
                <w:szCs w:val="28"/>
              </w:rPr>
              <w:t>Количество каналов передачи данных</w:t>
            </w:r>
          </w:p>
        </w:tc>
        <w:tc>
          <w:tcPr>
            <w:tcW w:w="2435" w:type="dxa"/>
          </w:tcPr>
          <w:p w14:paraId="3142F2CE">
            <w:pPr>
              <w:pStyle w:val="8"/>
              <w:spacing w:before="120"/>
              <w:jc w:val="both"/>
              <w:rPr>
                <w:rFonts w:ascii="Times New Roman" w:hAnsi="Times New Roman" w:cs="Times New Roman"/>
                <w:sz w:val="28"/>
                <w:szCs w:val="28"/>
              </w:rPr>
            </w:pPr>
            <w:r>
              <w:rPr>
                <w:rFonts w:ascii="Times New Roman" w:hAnsi="Times New Roman" w:cs="Times New Roman"/>
                <w:sz w:val="28"/>
                <w:szCs w:val="28"/>
              </w:rPr>
              <w:t>Месячная цена аренды канала передачи данных сети «Интернет» (руб.)</w:t>
            </w:r>
          </w:p>
        </w:tc>
        <w:tc>
          <w:tcPr>
            <w:tcW w:w="2436" w:type="dxa"/>
          </w:tcPr>
          <w:p w14:paraId="5FC22242">
            <w:pPr>
              <w:pStyle w:val="8"/>
              <w:spacing w:before="120"/>
              <w:jc w:val="both"/>
              <w:rPr>
                <w:rFonts w:ascii="Times New Roman" w:hAnsi="Times New Roman" w:cs="Times New Roman"/>
                <w:sz w:val="28"/>
                <w:szCs w:val="28"/>
              </w:rPr>
            </w:pPr>
            <w:r>
              <w:rPr>
                <w:rFonts w:ascii="Times New Roman" w:hAnsi="Times New Roman" w:cs="Times New Roman"/>
                <w:sz w:val="28"/>
                <w:szCs w:val="28"/>
              </w:rPr>
              <w:t>Количество месяцев аренды канала</w:t>
            </w:r>
          </w:p>
          <w:p w14:paraId="706990EA">
            <w:pPr>
              <w:pStyle w:val="8"/>
              <w:spacing w:before="120"/>
              <w:jc w:val="both"/>
              <w:rPr>
                <w:rFonts w:ascii="Times New Roman" w:hAnsi="Times New Roman" w:cs="Times New Roman"/>
                <w:sz w:val="28"/>
                <w:szCs w:val="28"/>
              </w:rPr>
            </w:pPr>
          </w:p>
        </w:tc>
      </w:tr>
      <w:tr w14:paraId="6E9C6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1" w:type="dxa"/>
            <w:gridSpan w:val="4"/>
          </w:tcPr>
          <w:p w14:paraId="7DD4FA8A">
            <w:pPr>
              <w:pStyle w:val="8"/>
              <w:spacing w:before="120" w:line="36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14:paraId="3E0D4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5" w:type="dxa"/>
          </w:tcPr>
          <w:p w14:paraId="023114CF">
            <w:pPr>
              <w:pStyle w:val="8"/>
              <w:spacing w:before="120"/>
              <w:jc w:val="both"/>
              <w:rPr>
                <w:rFonts w:ascii="Times New Roman" w:hAnsi="Times New Roman" w:cs="Times New Roman"/>
                <w:sz w:val="28"/>
                <w:szCs w:val="28"/>
              </w:rPr>
            </w:pPr>
            <w:r>
              <w:rPr>
                <w:rFonts w:ascii="Times New Roman" w:hAnsi="Times New Roman" w:cs="Times New Roman"/>
                <w:sz w:val="28"/>
                <w:szCs w:val="28"/>
              </w:rPr>
              <w:t>Аренда канала передачи данных сети «Интернет»</w:t>
            </w:r>
          </w:p>
        </w:tc>
        <w:tc>
          <w:tcPr>
            <w:tcW w:w="2435" w:type="dxa"/>
          </w:tcPr>
          <w:p w14:paraId="2FF7ED3E">
            <w:pPr>
              <w:pStyle w:val="8"/>
              <w:spacing w:before="120"/>
              <w:jc w:val="both"/>
              <w:rPr>
                <w:rFonts w:ascii="Times New Roman" w:hAnsi="Times New Roman" w:cs="Times New Roman"/>
                <w:sz w:val="28"/>
                <w:szCs w:val="28"/>
              </w:rPr>
            </w:pPr>
            <w:r>
              <w:rPr>
                <w:rFonts w:ascii="Times New Roman" w:hAnsi="Times New Roman" w:cs="Times New Roman"/>
                <w:sz w:val="28"/>
                <w:szCs w:val="28"/>
              </w:rPr>
              <w:t>не более 1 единицы на министерство</w:t>
            </w:r>
          </w:p>
        </w:tc>
        <w:tc>
          <w:tcPr>
            <w:tcW w:w="2435" w:type="dxa"/>
          </w:tcPr>
          <w:p w14:paraId="55552529">
            <w:pPr>
              <w:pStyle w:val="8"/>
              <w:spacing w:before="120"/>
              <w:jc w:val="both"/>
              <w:rPr>
                <w:rFonts w:ascii="Times New Roman" w:hAnsi="Times New Roman" w:cs="Times New Roman"/>
                <w:sz w:val="28"/>
                <w:szCs w:val="28"/>
              </w:rPr>
            </w:pPr>
            <w:r>
              <w:rPr>
                <w:rFonts w:ascii="Times New Roman" w:hAnsi="Times New Roman" w:cs="Times New Roman"/>
                <w:sz w:val="28"/>
                <w:szCs w:val="28"/>
              </w:rPr>
              <w:t>не более 10 500,00</w:t>
            </w:r>
          </w:p>
        </w:tc>
        <w:tc>
          <w:tcPr>
            <w:tcW w:w="2436" w:type="dxa"/>
          </w:tcPr>
          <w:p w14:paraId="3E7F8B3C">
            <w:pPr>
              <w:pStyle w:val="8"/>
              <w:spacing w:before="120"/>
              <w:jc w:val="both"/>
              <w:rPr>
                <w:rFonts w:ascii="Times New Roman" w:hAnsi="Times New Roman" w:cs="Times New Roman"/>
                <w:sz w:val="28"/>
                <w:szCs w:val="28"/>
              </w:rPr>
            </w:pPr>
            <w:r>
              <w:rPr>
                <w:rFonts w:ascii="Times New Roman" w:hAnsi="Times New Roman" w:cs="Times New Roman"/>
                <w:sz w:val="28"/>
                <w:szCs w:val="28"/>
              </w:rPr>
              <w:t xml:space="preserve">не более 12 </w:t>
            </w:r>
          </w:p>
        </w:tc>
      </w:tr>
      <w:tr w14:paraId="0A046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5" w:type="dxa"/>
          </w:tcPr>
          <w:p w14:paraId="6F382522">
            <w:pPr>
              <w:pStyle w:val="8"/>
              <w:spacing w:before="120"/>
              <w:jc w:val="both"/>
              <w:rPr>
                <w:rFonts w:ascii="Times New Roman" w:hAnsi="Times New Roman" w:cs="Times New Roman"/>
                <w:sz w:val="28"/>
                <w:szCs w:val="28"/>
                <w:lang w:val="en-US"/>
              </w:rPr>
            </w:pPr>
            <w:r>
              <w:rPr>
                <w:rFonts w:ascii="Times New Roman" w:hAnsi="Times New Roman" w:cs="Times New Roman"/>
                <w:sz w:val="28"/>
                <w:szCs w:val="28"/>
                <w:lang w:val="en-US"/>
              </w:rPr>
              <w:t>SIM-карта</w:t>
            </w:r>
          </w:p>
        </w:tc>
        <w:tc>
          <w:tcPr>
            <w:tcW w:w="2435" w:type="dxa"/>
          </w:tcPr>
          <w:p w14:paraId="57F57F10">
            <w:pPr>
              <w:pStyle w:val="8"/>
              <w:spacing w:before="120"/>
              <w:jc w:val="both"/>
              <w:rPr>
                <w:rFonts w:ascii="Times New Roman" w:hAnsi="Times New Roman" w:cs="Times New Roman"/>
                <w:sz w:val="28"/>
                <w:szCs w:val="28"/>
              </w:rPr>
            </w:pPr>
            <w:r>
              <w:rPr>
                <w:rFonts w:ascii="Times New Roman" w:hAnsi="Times New Roman" w:cs="Times New Roman"/>
                <w:sz w:val="28"/>
                <w:szCs w:val="28"/>
              </w:rPr>
              <w:t>Не более 1 единицы на министерство</w:t>
            </w:r>
          </w:p>
        </w:tc>
        <w:tc>
          <w:tcPr>
            <w:tcW w:w="2435" w:type="dxa"/>
          </w:tcPr>
          <w:p w14:paraId="00187071">
            <w:pPr>
              <w:pStyle w:val="8"/>
              <w:spacing w:before="120"/>
              <w:jc w:val="both"/>
              <w:rPr>
                <w:rFonts w:ascii="Times New Roman" w:hAnsi="Times New Roman" w:cs="Times New Roman"/>
                <w:sz w:val="28"/>
                <w:szCs w:val="28"/>
              </w:rPr>
            </w:pPr>
            <w:r>
              <w:rPr>
                <w:rFonts w:ascii="Times New Roman" w:hAnsi="Times New Roman" w:cs="Times New Roman"/>
                <w:sz w:val="28"/>
                <w:szCs w:val="28"/>
              </w:rPr>
              <w:t>Не более 1 000,00</w:t>
            </w:r>
          </w:p>
        </w:tc>
        <w:tc>
          <w:tcPr>
            <w:tcW w:w="2436" w:type="dxa"/>
          </w:tcPr>
          <w:p w14:paraId="449E5A8B">
            <w:pPr>
              <w:pStyle w:val="8"/>
              <w:spacing w:before="120"/>
              <w:jc w:val="both"/>
              <w:rPr>
                <w:rFonts w:ascii="Times New Roman" w:hAnsi="Times New Roman" w:cs="Times New Roman"/>
                <w:sz w:val="28"/>
                <w:szCs w:val="28"/>
              </w:rPr>
            </w:pPr>
            <w:r>
              <w:rPr>
                <w:rFonts w:ascii="Times New Roman" w:hAnsi="Times New Roman" w:cs="Times New Roman"/>
                <w:sz w:val="28"/>
                <w:szCs w:val="28"/>
              </w:rPr>
              <w:t>Не более 12</w:t>
            </w:r>
          </w:p>
        </w:tc>
      </w:tr>
      <w:tr w14:paraId="20792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1" w:type="dxa"/>
            <w:gridSpan w:val="4"/>
          </w:tcPr>
          <w:p w14:paraId="47C660B7">
            <w:pPr>
              <w:pStyle w:val="8"/>
              <w:spacing w:before="120" w:line="360" w:lineRule="auto"/>
              <w:jc w:val="center"/>
              <w:rPr>
                <w:rFonts w:ascii="Times New Roman" w:hAnsi="Times New Roman" w:cs="Times New Roman"/>
                <w:sz w:val="28"/>
                <w:szCs w:val="28"/>
              </w:rPr>
            </w:pPr>
            <w:r>
              <w:rPr>
                <w:rFonts w:ascii="Times New Roman" w:hAnsi="Times New Roman" w:cs="Times New Roman"/>
                <w:sz w:val="28"/>
                <w:szCs w:val="28"/>
              </w:rPr>
              <w:t>учреждение</w:t>
            </w:r>
          </w:p>
        </w:tc>
      </w:tr>
      <w:tr w14:paraId="40908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5" w:type="dxa"/>
          </w:tcPr>
          <w:p w14:paraId="6358429B">
            <w:pPr>
              <w:pStyle w:val="8"/>
              <w:spacing w:before="120"/>
              <w:jc w:val="both"/>
              <w:rPr>
                <w:rFonts w:ascii="Times New Roman" w:hAnsi="Times New Roman" w:cs="Times New Roman"/>
                <w:sz w:val="28"/>
                <w:szCs w:val="28"/>
              </w:rPr>
            </w:pPr>
            <w:r>
              <w:rPr>
                <w:rFonts w:ascii="Times New Roman" w:hAnsi="Times New Roman" w:cs="Times New Roman"/>
                <w:sz w:val="28"/>
                <w:szCs w:val="28"/>
              </w:rPr>
              <w:t>Аренда канала передачи данных сети «Интернет»</w:t>
            </w:r>
          </w:p>
        </w:tc>
        <w:tc>
          <w:tcPr>
            <w:tcW w:w="2435" w:type="dxa"/>
          </w:tcPr>
          <w:p w14:paraId="4C001976">
            <w:pPr>
              <w:pStyle w:val="8"/>
              <w:spacing w:before="120"/>
              <w:jc w:val="both"/>
              <w:rPr>
                <w:rFonts w:ascii="Times New Roman" w:hAnsi="Times New Roman" w:cs="Times New Roman"/>
                <w:sz w:val="28"/>
                <w:szCs w:val="28"/>
              </w:rPr>
            </w:pPr>
            <w:r>
              <w:rPr>
                <w:rFonts w:ascii="Times New Roman" w:hAnsi="Times New Roman" w:cs="Times New Roman"/>
                <w:sz w:val="28"/>
                <w:szCs w:val="28"/>
              </w:rPr>
              <w:t>не более 1 единицы на учреждение</w:t>
            </w:r>
          </w:p>
        </w:tc>
        <w:tc>
          <w:tcPr>
            <w:tcW w:w="2435" w:type="dxa"/>
          </w:tcPr>
          <w:p w14:paraId="3ADDA5F3">
            <w:pPr>
              <w:pStyle w:val="8"/>
              <w:spacing w:before="120"/>
              <w:jc w:val="both"/>
              <w:rPr>
                <w:rFonts w:ascii="Times New Roman" w:hAnsi="Times New Roman" w:cs="Times New Roman"/>
                <w:sz w:val="28"/>
                <w:szCs w:val="28"/>
              </w:rPr>
            </w:pPr>
            <w:r>
              <w:rPr>
                <w:rFonts w:ascii="Times New Roman" w:hAnsi="Times New Roman" w:cs="Times New Roman"/>
                <w:sz w:val="28"/>
                <w:szCs w:val="28"/>
              </w:rPr>
              <w:t>не более 10 500,00</w:t>
            </w:r>
          </w:p>
        </w:tc>
        <w:tc>
          <w:tcPr>
            <w:tcW w:w="2436" w:type="dxa"/>
          </w:tcPr>
          <w:p w14:paraId="64342C33">
            <w:pPr>
              <w:pStyle w:val="8"/>
              <w:spacing w:before="120"/>
              <w:jc w:val="both"/>
              <w:rPr>
                <w:rFonts w:ascii="Times New Roman" w:hAnsi="Times New Roman" w:cs="Times New Roman"/>
                <w:sz w:val="28"/>
                <w:szCs w:val="28"/>
              </w:rPr>
            </w:pPr>
            <w:r>
              <w:rPr>
                <w:rFonts w:ascii="Times New Roman" w:hAnsi="Times New Roman" w:cs="Times New Roman"/>
                <w:sz w:val="28"/>
                <w:szCs w:val="28"/>
              </w:rPr>
              <w:t xml:space="preserve">не более 12 </w:t>
            </w:r>
          </w:p>
        </w:tc>
      </w:tr>
      <w:tr w14:paraId="2D77B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5" w:type="dxa"/>
          </w:tcPr>
          <w:p w14:paraId="02B02E72">
            <w:pPr>
              <w:pStyle w:val="8"/>
              <w:spacing w:before="120"/>
              <w:jc w:val="both"/>
              <w:rPr>
                <w:rFonts w:ascii="Times New Roman" w:hAnsi="Times New Roman" w:cs="Times New Roman"/>
                <w:sz w:val="28"/>
                <w:szCs w:val="28"/>
              </w:rPr>
            </w:pPr>
            <w:r>
              <w:rPr>
                <w:rFonts w:ascii="Times New Roman" w:hAnsi="Times New Roman" w:cs="Times New Roman"/>
                <w:sz w:val="28"/>
                <w:szCs w:val="28"/>
              </w:rPr>
              <w:t xml:space="preserve">Регистрация и обслуживание адресов электронной почты </w:t>
            </w:r>
          </w:p>
        </w:tc>
        <w:tc>
          <w:tcPr>
            <w:tcW w:w="2435" w:type="dxa"/>
          </w:tcPr>
          <w:p w14:paraId="3BF26D0F">
            <w:pPr>
              <w:pStyle w:val="8"/>
              <w:spacing w:before="120"/>
              <w:jc w:val="both"/>
              <w:rPr>
                <w:rFonts w:ascii="Times New Roman" w:hAnsi="Times New Roman" w:cs="Times New Roman"/>
                <w:sz w:val="28"/>
                <w:szCs w:val="28"/>
              </w:rPr>
            </w:pPr>
            <w:r>
              <w:rPr>
                <w:rFonts w:ascii="Times New Roman" w:hAnsi="Times New Roman" w:cs="Times New Roman"/>
                <w:sz w:val="28"/>
                <w:szCs w:val="28"/>
              </w:rPr>
              <w:t>не более 1 единицы на учреждение</w:t>
            </w:r>
          </w:p>
        </w:tc>
        <w:tc>
          <w:tcPr>
            <w:tcW w:w="2435" w:type="dxa"/>
          </w:tcPr>
          <w:p w14:paraId="5E4EA148">
            <w:pPr>
              <w:pStyle w:val="8"/>
              <w:spacing w:before="120"/>
              <w:jc w:val="both"/>
              <w:rPr>
                <w:rFonts w:ascii="Times New Roman" w:hAnsi="Times New Roman" w:cs="Times New Roman"/>
                <w:sz w:val="28"/>
                <w:szCs w:val="28"/>
              </w:rPr>
            </w:pPr>
            <w:r>
              <w:rPr>
                <w:rFonts w:ascii="Times New Roman" w:hAnsi="Times New Roman" w:cs="Times New Roman"/>
                <w:sz w:val="28"/>
                <w:szCs w:val="28"/>
              </w:rPr>
              <w:t>не более 2 000,00</w:t>
            </w:r>
          </w:p>
        </w:tc>
        <w:tc>
          <w:tcPr>
            <w:tcW w:w="2436" w:type="dxa"/>
          </w:tcPr>
          <w:p w14:paraId="098E26EB">
            <w:pPr>
              <w:pStyle w:val="8"/>
              <w:spacing w:before="120"/>
              <w:jc w:val="both"/>
              <w:rPr>
                <w:rFonts w:ascii="Times New Roman" w:hAnsi="Times New Roman" w:cs="Times New Roman"/>
                <w:sz w:val="28"/>
                <w:szCs w:val="28"/>
              </w:rPr>
            </w:pPr>
            <w:r>
              <w:rPr>
                <w:rFonts w:ascii="Times New Roman" w:hAnsi="Times New Roman" w:cs="Times New Roman"/>
                <w:sz w:val="28"/>
                <w:szCs w:val="28"/>
              </w:rPr>
              <w:t xml:space="preserve">не более 12 </w:t>
            </w:r>
          </w:p>
        </w:tc>
      </w:tr>
    </w:tbl>
    <w:p w14:paraId="3E6BFBAF">
      <w:pPr>
        <w:pStyle w:val="8"/>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Затраты на содержание имущества. При определении затрат на техническое обслуживание и регламентно -профилактический ремонт (далее – затраты на ремонт) применяется перечень работ по техническому обслуживанию и регламентно-профилактическому ремонту и нормативным трудозатратам на их выполнение, установленный в эксплуатационной документации или утвержденном регламенте выполнения таких работ. </w:t>
      </w:r>
    </w:p>
    <w:p w14:paraId="6D9066FC">
      <w:pPr>
        <w:pStyle w:val="8"/>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Затраты на содержание имущества включают:</w:t>
      </w:r>
    </w:p>
    <w:p w14:paraId="57CBD079">
      <w:pPr>
        <w:pStyle w:val="8"/>
        <w:spacing w:line="360" w:lineRule="auto"/>
        <w:ind w:firstLine="709"/>
        <w:jc w:val="both"/>
        <w:rPr>
          <w:rFonts w:ascii="Times New Roman" w:hAnsi="Times New Roman" w:cs="Times New Roman"/>
          <w:sz w:val="28"/>
          <w:szCs w:val="28"/>
        </w:rPr>
      </w:pPr>
      <w:bookmarkStart w:id="1" w:name="P155"/>
      <w:bookmarkEnd w:id="1"/>
      <w:r>
        <w:rPr>
          <w:rFonts w:ascii="Times New Roman" w:hAnsi="Times New Roman" w:cs="Times New Roman"/>
          <w:sz w:val="28"/>
          <w:szCs w:val="28"/>
        </w:rPr>
        <w:t xml:space="preserve">2.1. Затраты на ремонт вычислительной техники </w:t>
      </w:r>
      <w:r>
        <w:rPr>
          <w:rFonts w:ascii="Times New Roman" w:hAnsi="Times New Roman" w:cs="Times New Roman"/>
          <w:position w:val="-14"/>
          <w:sz w:val="28"/>
          <w:szCs w:val="28"/>
        </w:rPr>
        <w:drawing>
          <wp:inline distT="0" distB="0" distL="0" distR="0">
            <wp:extent cx="400050" cy="257175"/>
            <wp:effectExtent l="0" t="0" r="0" b="0"/>
            <wp:docPr id="301" name="Рисунок 58" descr="base_23792_85543_491"/>
            <wp:cNvGraphicFramePr/>
            <a:graphic xmlns:a="http://schemas.openxmlformats.org/drawingml/2006/main">
              <a:graphicData uri="http://schemas.openxmlformats.org/drawingml/2006/picture">
                <pic:pic xmlns:pic="http://schemas.openxmlformats.org/drawingml/2006/picture">
                  <pic:nvPicPr>
                    <pic:cNvPr id="301" name="Рисунок 58" descr="base_23792_85543_491"/>
                    <pic:cNvPicPr preferRelativeResize="0">
                      <a:picLocks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4109A6C5">
      <w:pPr>
        <w:pStyle w:val="8"/>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ctrlPr>
                <w:rPr>
                  <w:rFonts w:ascii="Cambria Math" w:hAnsi="Cambria Math" w:cs="Times New Roman"/>
                  <w:sz w:val="28"/>
                  <w:szCs w:val="28"/>
                </w:rPr>
              </m:ctrlPr>
            </m:e>
            <m:sub>
              <m:r>
                <m:rPr>
                  <m:sty m:val="p"/>
                </m:rPr>
                <w:rPr>
                  <w:rFonts w:ascii="Cambria Math" w:hAnsi="Cambria Math" w:cs="Times New Roman"/>
                  <w:sz w:val="28"/>
                  <w:szCs w:val="28"/>
                </w:rPr>
                <m:t>рвт</m:t>
              </m:r>
              <m:ctrlPr>
                <w:rPr>
                  <w:rFonts w:ascii="Cambria Math" w:hAnsi="Cambria Math" w:cs="Times New Roman"/>
                  <w:sz w:val="28"/>
                  <w:szCs w:val="28"/>
                </w:rPr>
              </m:ctrlP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ctrlPr>
                <w:rPr>
                  <w:rFonts w:ascii="Cambria Math" w:hAnsi="Cambria Math" w:cs="Times New Roman"/>
                  <w:sz w:val="28"/>
                  <w:szCs w:val="28"/>
                </w:rPr>
              </m:ctrlPr>
            </m:sub>
            <m:sup>
              <m:r>
                <m:rPr>
                  <m:sty m:val="p"/>
                </m:rPr>
                <w:rPr>
                  <w:rFonts w:ascii="Cambria Math" w:hAnsi="Cambria Math" w:cs="Times New Roman"/>
                  <w:sz w:val="28"/>
                  <w:szCs w:val="28"/>
                  <w:lang w:val="en-US"/>
                </w:rPr>
                <m:t>n</m:t>
              </m:r>
              <m:ctrlPr>
                <w:rPr>
                  <w:rFonts w:ascii="Cambria Math" w:hAnsi="Cambria Math" w:cs="Times New Roman"/>
                  <w:sz w:val="28"/>
                  <w:szCs w:val="28"/>
                </w:rPr>
              </m:ctrlP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ctrlPr>
                    <w:rPr>
                      <w:rFonts w:ascii="Cambria Math" w:hAnsi="Cambria Math" w:cs="Times New Roman"/>
                      <w:sz w:val="28"/>
                      <w:szCs w:val="28"/>
                    </w:rPr>
                  </m:ctrlPr>
                </m:e>
                <m:sub>
                  <m:r>
                    <m:rPr>
                      <m:sty m:val="p"/>
                    </m:rPr>
                    <w:rPr>
                      <w:rFonts w:ascii="Cambria Math" w:hAnsi="Cambria Math" w:cs="Times New Roman"/>
                      <w:sz w:val="28"/>
                      <w:szCs w:val="28"/>
                    </w:rPr>
                    <m:t>i рвт</m:t>
                  </m:r>
                  <m:ctrlPr>
                    <w:rPr>
                      <w:rFonts w:ascii="Cambria Math" w:hAnsi="Cambria Math" w:cs="Times New Roman"/>
                      <w:sz w:val="28"/>
                      <w:szCs w:val="28"/>
                    </w:rPr>
                  </m:ctrlP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ctrlPr>
                    <w:rPr>
                      <w:rFonts w:ascii="Cambria Math" w:hAnsi="Cambria Math" w:cs="Times New Roman"/>
                      <w:sz w:val="28"/>
                      <w:szCs w:val="28"/>
                    </w:rPr>
                  </m:ctrlPr>
                </m:e>
                <m:sub>
                  <m:r>
                    <m:rPr>
                      <m:sty m:val="p"/>
                    </m:rPr>
                    <w:rPr>
                      <w:rFonts w:ascii="Cambria Math" w:hAnsi="Cambria Math" w:cs="Times New Roman"/>
                      <w:sz w:val="28"/>
                      <w:szCs w:val="28"/>
                    </w:rPr>
                    <m:t>i рвт</m:t>
                  </m:r>
                  <m:ctrlPr>
                    <w:rPr>
                      <w:rFonts w:ascii="Cambria Math" w:hAnsi="Cambria Math" w:cs="Times New Roman"/>
                      <w:sz w:val="28"/>
                      <w:szCs w:val="28"/>
                    </w:rPr>
                  </m:ctrlPr>
                </m:sub>
              </m:sSub>
              <m:ctrlPr>
                <w:rPr>
                  <w:rFonts w:ascii="Cambria Math" w:hAnsi="Cambria Math" w:cs="Times New Roman"/>
                  <w:sz w:val="28"/>
                  <w:szCs w:val="28"/>
                </w:rPr>
              </m:ctrlPr>
            </m:e>
          </m:nary>
          <m:r>
            <m:rPr>
              <m:sty m:val="p"/>
            </m:rPr>
            <w:rPr>
              <w:rFonts w:ascii="Cambria Math" w:hAnsi="Cambria Math" w:cs="Times New Roman"/>
              <w:sz w:val="28"/>
              <w:szCs w:val="28"/>
            </w:rPr>
            <m:t>, где:</m:t>
          </m:r>
        </m:oMath>
      </m:oMathPara>
    </w:p>
    <w:p w14:paraId="2A4FB43A">
      <w:pPr>
        <w:pStyle w:val="8"/>
        <w:spacing w:line="360" w:lineRule="auto"/>
        <w:ind w:firstLine="709"/>
        <w:jc w:val="both"/>
        <w:rPr>
          <w:rFonts w:ascii="Times New Roman" w:hAnsi="Times New Roman" w:cs="Times New Roman"/>
          <w:sz w:val="28"/>
          <w:szCs w:val="28"/>
        </w:rPr>
      </w:pPr>
      <w:r>
        <w:rPr>
          <w:rFonts w:ascii="Times New Roman" w:hAnsi="Times New Roman" w:cs="Times New Roman"/>
          <w:position w:val="-14"/>
          <w:sz w:val="28"/>
          <w:szCs w:val="28"/>
        </w:rPr>
        <w:drawing>
          <wp:inline distT="0" distB="0" distL="0" distR="0">
            <wp:extent cx="371475" cy="257175"/>
            <wp:effectExtent l="0" t="0" r="0" b="0"/>
            <wp:docPr id="300" name="Рисунок 59" descr="base_23792_85543_493"/>
            <wp:cNvGraphicFramePr/>
            <a:graphic xmlns:a="http://schemas.openxmlformats.org/drawingml/2006/main">
              <a:graphicData uri="http://schemas.openxmlformats.org/drawingml/2006/picture">
                <pic:pic xmlns:pic="http://schemas.openxmlformats.org/drawingml/2006/picture">
                  <pic:nvPicPr>
                    <pic:cNvPr id="300" name="Рисунок 59" descr="base_23792_85543_493"/>
                    <pic:cNvPicPr preferRelativeResize="0">
                      <a:picLocks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 – фактическое количество i-й вычислительной техники, но не более предельного количества i-й вычислительной техники;</w:t>
      </w:r>
    </w:p>
    <w:p w14:paraId="4EC1D4AF">
      <w:pPr>
        <w:pStyle w:val="8"/>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ctrlPr>
              <w:rPr>
                <w:rFonts w:ascii="Cambria Math" w:hAnsi="Cambria Math" w:cs="Times New Roman"/>
                <w:sz w:val="28"/>
                <w:szCs w:val="28"/>
              </w:rPr>
            </m:ctrlPr>
          </m:e>
          <m:sub>
            <m:r>
              <m:rPr>
                <m:sty m:val="p"/>
              </m:rPr>
              <w:rPr>
                <w:rFonts w:ascii="Cambria Math" w:hAnsi="Cambria Math" w:cs="Times New Roman"/>
                <w:sz w:val="28"/>
                <w:szCs w:val="28"/>
              </w:rPr>
              <m:t>i рвт</m:t>
            </m:r>
            <m:ctrlPr>
              <w:rPr>
                <w:rFonts w:ascii="Cambria Math" w:hAnsi="Cambria Math" w:cs="Times New Roman"/>
                <w:sz w:val="28"/>
                <w:szCs w:val="28"/>
              </w:rPr>
            </m:ctrlPr>
          </m:sub>
        </m:sSub>
      </m:oMath>
      <w:r>
        <w:rPr>
          <w:rFonts w:ascii="Times New Roman" w:hAnsi="Times New Roman" w:cs="Times New Roman"/>
          <w:sz w:val="28"/>
          <w:szCs w:val="28"/>
        </w:rPr>
        <w:t>– цена технического обслуживания и регламентно - профилактического ремонта в расчете на 1 i-ю вычислительную технику в год.</w:t>
      </w:r>
    </w:p>
    <w:p w14:paraId="7D091F94">
      <w:pPr>
        <w:autoSpaceDE w:val="0"/>
        <w:autoSpaceDN w:val="0"/>
        <w:adjustRightInd w:val="0"/>
        <w:spacing w:after="0" w:line="36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Предельное количество i-й вычислительной техники (</w:t>
      </w:r>
      <w:r>
        <w:rPr>
          <w:rFonts w:ascii="Times New Roman" w:hAnsi="Times New Roman" w:eastAsia="Times New Roman" w:cs="Times New Roman"/>
          <w:position w:val="-14"/>
          <w:sz w:val="28"/>
          <w:szCs w:val="28"/>
          <w:lang w:eastAsia="ru-RU"/>
        </w:rPr>
        <w:drawing>
          <wp:inline distT="0" distB="0" distL="0" distR="0">
            <wp:extent cx="862965" cy="33464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862965" cy="334645"/>
                    </a:xfrm>
                    <a:prstGeom prst="rect">
                      <a:avLst/>
                    </a:prstGeom>
                    <a:noFill/>
                    <a:ln>
                      <a:noFill/>
                    </a:ln>
                  </pic:spPr>
                </pic:pic>
              </a:graphicData>
            </a:graphic>
          </wp:inline>
        </w:drawing>
      </w:r>
      <w:r>
        <w:rPr>
          <w:rFonts w:ascii="Times New Roman" w:hAnsi="Times New Roman" w:eastAsia="Times New Roman" w:cs="Times New Roman"/>
          <w:sz w:val="28"/>
          <w:szCs w:val="28"/>
          <w:lang w:eastAsia="ru-RU"/>
        </w:rPr>
        <w:t>) определяется с округлением до целого по формулам:</w:t>
      </w:r>
    </w:p>
    <w:p w14:paraId="620D6115">
      <w:pPr>
        <w:pStyle w:val="8"/>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для закрытого контура обработки информации:</w:t>
      </w:r>
    </w:p>
    <w:p w14:paraId="36524742">
      <w:pPr>
        <w:pStyle w:val="8"/>
        <w:tabs>
          <w:tab w:val="left" w:pos="6663"/>
        </w:tabs>
        <w:spacing w:line="360" w:lineRule="auto"/>
        <w:ind w:right="-30"/>
        <w:jc w:val="center"/>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ctrlPr>
              <w:rPr>
                <w:rFonts w:ascii="Cambria Math" w:hAnsi="Cambria Math" w:cs="Times New Roman"/>
                <w:sz w:val="28"/>
                <w:szCs w:val="28"/>
              </w:rPr>
            </m:ctrlPr>
          </m:e>
          <m:sub>
            <m:r>
              <m:rPr>
                <m:sty m:val="b"/>
              </m:rPr>
              <w:rPr>
                <w:rFonts w:ascii="Cambria Math" w:hAnsi="Cambria Math" w:cs="Times New Roman"/>
                <w:sz w:val="28"/>
                <w:szCs w:val="28"/>
              </w:rPr>
              <m:t>i</m:t>
            </m:r>
            <m:r>
              <m:rPr>
                <m:sty m:val="p"/>
              </m:rPr>
              <w:rPr>
                <w:rFonts w:ascii="Cambria Math" w:hAnsi="Cambria Math" w:cs="Times New Roman"/>
                <w:sz w:val="28"/>
                <w:szCs w:val="28"/>
              </w:rPr>
              <m:t xml:space="preserve"> рвт предел</m:t>
            </m:r>
            <m:ctrlPr>
              <w:rPr>
                <w:rFonts w:ascii="Cambria Math" w:hAnsi="Cambria Math" w:cs="Times New Roman"/>
                <w:sz w:val="28"/>
                <w:szCs w:val="28"/>
              </w:rPr>
            </m:ctrlP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Ч</m:t>
            </m:r>
            <m:ctrlPr>
              <w:rPr>
                <w:rFonts w:ascii="Cambria Math" w:hAnsi="Cambria Math" w:cs="Times New Roman"/>
                <w:sz w:val="28"/>
                <w:szCs w:val="28"/>
              </w:rPr>
            </m:ctrlPr>
          </m:e>
          <m:sub>
            <m:r>
              <m:rPr>
                <m:sty m:val="p"/>
              </m:rPr>
              <w:rPr>
                <w:rFonts w:ascii="Cambria Math" w:hAnsi="Cambria Math" w:cs="Times New Roman"/>
                <w:sz w:val="28"/>
                <w:szCs w:val="28"/>
              </w:rPr>
              <m:t>оп</m:t>
            </m:r>
            <m:ctrlPr>
              <w:rPr>
                <w:rFonts w:ascii="Cambria Math" w:hAnsi="Cambria Math" w:cs="Times New Roman"/>
                <w:sz w:val="28"/>
                <w:szCs w:val="28"/>
              </w:rPr>
            </m:ctrlPr>
          </m:sub>
        </m:sSub>
        <m:r>
          <m:rPr>
            <m:sty m:val="p"/>
          </m:rPr>
          <w:rPr>
            <w:rFonts w:ascii="Cambria Math" w:hAnsi="Cambria Math" w:cs="Times New Roman"/>
            <w:sz w:val="28"/>
            <w:szCs w:val="28"/>
          </w:rPr>
          <m:t>×0,2</m:t>
        </m:r>
      </m:oMath>
      <w:r>
        <w:rPr>
          <w:rFonts w:ascii="Times New Roman" w:hAnsi="Times New Roman" w:cs="Times New Roman"/>
          <w:sz w:val="28"/>
          <w:szCs w:val="28"/>
        </w:rPr>
        <w:t>;</w:t>
      </w:r>
    </w:p>
    <w:p w14:paraId="0D8486A5">
      <w:pPr>
        <w:pStyle w:val="8"/>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открытого контура обработки информации:</w:t>
      </w:r>
    </w:p>
    <w:p w14:paraId="302E2F59">
      <w:pPr>
        <w:pStyle w:val="8"/>
        <w:spacing w:line="360" w:lineRule="auto"/>
        <w:jc w:val="both"/>
        <w:rPr>
          <w:rFonts w:ascii="Times New Roman" w:hAnsi="Times New Roman" w:cs="Times New Roman"/>
          <w:sz w:val="28"/>
          <w:szCs w:val="28"/>
        </w:rPr>
      </w:pPr>
      <m:oMathPara>
        <m:oMathParaPr>
          <m:jc m:val="center"/>
        </m:oMathPara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ctrlPr>
                <w:rPr>
                  <w:rFonts w:ascii="Cambria Math" w:hAnsi="Cambria Math" w:cs="Times New Roman"/>
                  <w:sz w:val="28"/>
                  <w:szCs w:val="28"/>
                </w:rPr>
              </m:ctrlPr>
            </m:e>
            <m:sub>
              <m:r>
                <m:rPr>
                  <m:sty m:val="b"/>
                </m:rPr>
                <w:rPr>
                  <w:rFonts w:ascii="Cambria Math" w:hAnsi="Cambria Math" w:cs="Times New Roman"/>
                  <w:sz w:val="28"/>
                  <w:szCs w:val="28"/>
                </w:rPr>
                <m:t>i</m:t>
              </m:r>
              <m:r>
                <m:rPr>
                  <m:sty m:val="p"/>
                </m:rPr>
                <w:rPr>
                  <w:rFonts w:ascii="Cambria Math" w:hAnsi="Cambria Math" w:cs="Times New Roman"/>
                  <w:sz w:val="28"/>
                  <w:szCs w:val="28"/>
                </w:rPr>
                <m:t xml:space="preserve"> рвт предел</m:t>
              </m:r>
              <m:ctrlPr>
                <w:rPr>
                  <w:rFonts w:ascii="Cambria Math" w:hAnsi="Cambria Math" w:cs="Times New Roman"/>
                  <w:sz w:val="28"/>
                  <w:szCs w:val="28"/>
                </w:rPr>
              </m:ctrlP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Ч</m:t>
              </m:r>
              <m:ctrlPr>
                <w:rPr>
                  <w:rFonts w:ascii="Cambria Math" w:hAnsi="Cambria Math" w:cs="Times New Roman"/>
                  <w:sz w:val="28"/>
                  <w:szCs w:val="28"/>
                </w:rPr>
              </m:ctrlPr>
            </m:e>
            <m:sub>
              <m:r>
                <m:rPr>
                  <m:sty m:val="p"/>
                </m:rPr>
                <w:rPr>
                  <w:rFonts w:ascii="Cambria Math" w:hAnsi="Cambria Math" w:cs="Times New Roman"/>
                  <w:sz w:val="28"/>
                  <w:szCs w:val="28"/>
                </w:rPr>
                <m:t>оп</m:t>
              </m:r>
              <m:ctrlPr>
                <w:rPr>
                  <w:rFonts w:ascii="Cambria Math" w:hAnsi="Cambria Math" w:cs="Times New Roman"/>
                  <w:sz w:val="28"/>
                  <w:szCs w:val="28"/>
                </w:rPr>
              </m:ctrlPr>
            </m:sub>
          </m:sSub>
          <m:r>
            <m:rPr>
              <m:sty m:val="p"/>
            </m:rPr>
            <w:rPr>
              <w:rFonts w:ascii="Cambria Math" w:hAnsi="Cambria Math" w:cs="Times New Roman"/>
              <w:sz w:val="28"/>
              <w:szCs w:val="28"/>
            </w:rPr>
            <m:t>×1, где:</m:t>
          </m:r>
        </m:oMath>
      </m:oMathPara>
    </w:p>
    <w:p w14:paraId="76DB4724">
      <w:pPr>
        <w:pStyle w:val="8"/>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Ч</w:t>
      </w:r>
      <w:r>
        <w:rPr>
          <w:rFonts w:ascii="Times New Roman" w:hAnsi="Times New Roman" w:cs="Times New Roman"/>
          <w:sz w:val="28"/>
          <w:szCs w:val="28"/>
          <w:vertAlign w:val="subscript"/>
        </w:rPr>
        <w:t>оп</w:t>
      </w:r>
      <w:r>
        <w:rPr>
          <w:rFonts w:ascii="Times New Roman" w:hAnsi="Times New Roman" w:cs="Times New Roman"/>
          <w:sz w:val="28"/>
          <w:szCs w:val="28"/>
        </w:rPr>
        <w:t xml:space="preserve"> – расчетная численность основных работников, определяемая в соответствии с пунктами 17, 18, 21, 22 Общих правил определения нормативных затрат на обеспечение функций государственных органов, органов управления государственными внебюджетными фондами и муниципальных органов, включая соответственно территориальные органы и подведомственные казенные учреждения, утвержденных постановлением Правительства Российской Федерации от 13.10.2014 № 1047 «Об Общих правилах определения нормативных затрат на обеспечение функций государственных органов, органов управления государственными внебюджетными фондами и муниципальных органов, включая соответственно территориальные органы и подведомственные казенные учреждения» (далее – Общие правила определения нормативных затрат).</w:t>
      </w:r>
    </w:p>
    <w:p w14:paraId="554519CD">
      <w:pPr>
        <w:pStyle w:val="8"/>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Расчет затрат производится в соответствии с нормативами согласно таблице №4.</w:t>
      </w:r>
    </w:p>
    <w:p w14:paraId="56FBB2B3">
      <w:pPr>
        <w:pStyle w:val="8"/>
        <w:spacing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№4</w:t>
      </w:r>
    </w:p>
    <w:p w14:paraId="11036614">
      <w:pPr>
        <w:widowControl w:val="0"/>
        <w:autoSpaceDE w:val="0"/>
        <w:autoSpaceDN w:val="0"/>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ремонт вычислительной техники</w:t>
      </w:r>
    </w:p>
    <w:tbl>
      <w:tblPr>
        <w:tblStyle w:val="3"/>
        <w:tblW w:w="978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44"/>
        <w:gridCol w:w="6237"/>
      </w:tblGrid>
      <w:tr w14:paraId="384C5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shd w:val="clear" w:color="auto" w:fill="auto"/>
          </w:tcPr>
          <w:p w14:paraId="400D9EFC">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Наименование вычислительной техники</w:t>
            </w:r>
          </w:p>
        </w:tc>
        <w:tc>
          <w:tcPr>
            <w:tcW w:w="6237" w:type="dxa"/>
          </w:tcPr>
          <w:p w14:paraId="6598F718">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Норматив цены технического обслуживания и регламентно-профилактического ремонта в расчете на одну рабочую станцию в год (рублей)</w:t>
            </w:r>
          </w:p>
        </w:tc>
      </w:tr>
      <w:tr w14:paraId="4972E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1" w:type="dxa"/>
            <w:gridSpan w:val="2"/>
            <w:shd w:val="clear" w:color="auto" w:fill="auto"/>
          </w:tcPr>
          <w:p w14:paraId="2E854348">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министерство</w:t>
            </w:r>
          </w:p>
        </w:tc>
      </w:tr>
      <w:tr w14:paraId="70B89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shd w:val="clear" w:color="auto" w:fill="auto"/>
          </w:tcPr>
          <w:p w14:paraId="2EADBFFD">
            <w:pPr>
              <w:spacing w:after="0" w:line="240" w:lineRule="auto"/>
              <w:rPr>
                <w:rFonts w:ascii="Times New Roman" w:hAnsi="Times New Roman" w:cs="Times New Roman"/>
                <w:sz w:val="26"/>
                <w:szCs w:val="26"/>
              </w:rPr>
            </w:pPr>
            <w:r>
              <w:rPr>
                <w:rFonts w:ascii="Times New Roman" w:hAnsi="Times New Roman" w:cs="Times New Roman"/>
                <w:sz w:val="26"/>
                <w:szCs w:val="26"/>
              </w:rPr>
              <w:t>Рабочие станции (компьютер)</w:t>
            </w:r>
          </w:p>
        </w:tc>
        <w:tc>
          <w:tcPr>
            <w:tcW w:w="6237" w:type="dxa"/>
          </w:tcPr>
          <w:p w14:paraId="5AAB17B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не более 10 000,00</w:t>
            </w:r>
          </w:p>
        </w:tc>
      </w:tr>
      <w:tr w14:paraId="68FDA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1" w:type="dxa"/>
            <w:gridSpan w:val="2"/>
            <w:shd w:val="clear" w:color="auto" w:fill="auto"/>
          </w:tcPr>
          <w:p w14:paraId="1CB864B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учреждение</w:t>
            </w:r>
          </w:p>
        </w:tc>
      </w:tr>
      <w:tr w14:paraId="781F7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shd w:val="clear" w:color="auto" w:fill="auto"/>
          </w:tcPr>
          <w:p w14:paraId="5158A7E8">
            <w:pPr>
              <w:spacing w:after="0" w:line="240" w:lineRule="auto"/>
              <w:rPr>
                <w:rFonts w:ascii="Times New Roman" w:hAnsi="Times New Roman" w:cs="Times New Roman"/>
                <w:sz w:val="26"/>
                <w:szCs w:val="26"/>
              </w:rPr>
            </w:pPr>
            <w:r>
              <w:rPr>
                <w:rFonts w:ascii="Times New Roman" w:hAnsi="Times New Roman" w:cs="Times New Roman"/>
                <w:sz w:val="26"/>
                <w:szCs w:val="26"/>
              </w:rPr>
              <w:t>Рабочие станции (компьютер)</w:t>
            </w:r>
          </w:p>
        </w:tc>
        <w:tc>
          <w:tcPr>
            <w:tcW w:w="6237" w:type="dxa"/>
          </w:tcPr>
          <w:p w14:paraId="512E4BD1">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не более 10 000,00</w:t>
            </w:r>
          </w:p>
        </w:tc>
      </w:tr>
    </w:tbl>
    <w:p w14:paraId="33489B4E">
      <w:pPr>
        <w:ind w:firstLine="708"/>
        <w:jc w:val="both"/>
        <w:rPr>
          <w:rFonts w:ascii="Times New Roman" w:hAnsi="Times New Roman" w:cs="Times New Roman"/>
          <w:sz w:val="28"/>
          <w:szCs w:val="28"/>
        </w:rPr>
      </w:pPr>
      <w:bookmarkStart w:id="2" w:name="P190"/>
      <w:bookmarkEnd w:id="2"/>
    </w:p>
    <w:p w14:paraId="3B417860">
      <w:pPr>
        <w:ind w:firstLine="708"/>
        <w:jc w:val="both"/>
        <w:rPr>
          <w:rFonts w:ascii="Times New Roman" w:hAnsi="Times New Roman" w:cs="Times New Roman"/>
          <w:sz w:val="28"/>
          <w:szCs w:val="28"/>
        </w:rPr>
      </w:pPr>
      <w:r>
        <w:rPr>
          <w:rFonts w:ascii="Times New Roman" w:hAnsi="Times New Roman" w:cs="Times New Roman"/>
          <w:sz w:val="28"/>
          <w:szCs w:val="28"/>
        </w:rPr>
        <w:t>2.2. Затраты на обслуживание и ремонт принтеров, многофункциональных устройств, копировальных аппаратов</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и иной оргтехники </w:t>
      </w:r>
      <w:r>
        <w:rPr>
          <w:rFonts w:ascii="Times New Roman" w:hAnsi="Times New Roman" w:cs="Times New Roman"/>
          <w:position w:val="-14"/>
          <w:sz w:val="28"/>
          <w:szCs w:val="28"/>
          <w:lang w:eastAsia="ru-RU"/>
        </w:rPr>
        <w:drawing>
          <wp:inline distT="0" distB="0" distL="0" distR="0">
            <wp:extent cx="419100" cy="257175"/>
            <wp:effectExtent l="0" t="0" r="0" b="0"/>
            <wp:docPr id="65" name="Рисунок 74" descr="base_23792_85543_514"/>
            <wp:cNvGraphicFramePr/>
            <a:graphic xmlns:a="http://schemas.openxmlformats.org/drawingml/2006/main">
              <a:graphicData uri="http://schemas.openxmlformats.org/drawingml/2006/picture">
                <pic:pic xmlns:pic="http://schemas.openxmlformats.org/drawingml/2006/picture">
                  <pic:nvPicPr>
                    <pic:cNvPr id="65" name="Рисунок 74" descr="base_23792_85543_514"/>
                    <pic:cNvPicPr preferRelativeResize="0">
                      <a:picLocks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59B3D0AB">
      <w:pPr>
        <w:pStyle w:val="8"/>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drawing>
          <wp:inline distT="0" distB="0" distL="0" distR="0">
            <wp:extent cx="1876425" cy="476250"/>
            <wp:effectExtent l="0" t="0" r="0" b="0"/>
            <wp:docPr id="64" name="Рисунок 75" descr="base_23792_85543_515"/>
            <wp:cNvGraphicFramePr/>
            <a:graphic xmlns:a="http://schemas.openxmlformats.org/drawingml/2006/main">
              <a:graphicData uri="http://schemas.openxmlformats.org/drawingml/2006/picture">
                <pic:pic xmlns:pic="http://schemas.openxmlformats.org/drawingml/2006/picture">
                  <pic:nvPicPr>
                    <pic:cNvPr id="64" name="Рисунок 75" descr="base_23792_85543_515"/>
                    <pic:cNvPicPr preferRelativeResize="0">
                      <a:picLocks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1876425" cy="476250"/>
                    </a:xfrm>
                    <a:prstGeom prst="rect">
                      <a:avLst/>
                    </a:prstGeom>
                    <a:noFill/>
                    <a:ln>
                      <a:noFill/>
                    </a:ln>
                  </pic:spPr>
                </pic:pic>
              </a:graphicData>
            </a:graphic>
          </wp:inline>
        </w:drawing>
      </w:r>
    </w:p>
    <w:p w14:paraId="62590922">
      <w:pPr>
        <w:pStyle w:val="8"/>
        <w:spacing w:line="360" w:lineRule="auto"/>
        <w:ind w:firstLine="709"/>
        <w:jc w:val="both"/>
        <w:rPr>
          <w:rFonts w:ascii="Times New Roman" w:hAnsi="Times New Roman" w:cs="Times New Roman"/>
          <w:sz w:val="28"/>
          <w:szCs w:val="28"/>
        </w:rPr>
      </w:pPr>
      <w:r>
        <w:rPr>
          <w:rFonts w:ascii="Times New Roman" w:hAnsi="Times New Roman" w:cs="Times New Roman"/>
          <w:position w:val="-14"/>
          <w:sz w:val="28"/>
          <w:szCs w:val="28"/>
        </w:rPr>
        <w:drawing>
          <wp:inline distT="0" distB="0" distL="0" distR="0">
            <wp:extent cx="400050" cy="257175"/>
            <wp:effectExtent l="0" t="0" r="0" b="0"/>
            <wp:docPr id="63" name="Рисунок 76" descr="base_23792_85543_516"/>
            <wp:cNvGraphicFramePr/>
            <a:graphic xmlns:a="http://schemas.openxmlformats.org/drawingml/2006/main">
              <a:graphicData uri="http://schemas.openxmlformats.org/drawingml/2006/picture">
                <pic:pic xmlns:pic="http://schemas.openxmlformats.org/drawingml/2006/picture">
                  <pic:nvPicPr>
                    <pic:cNvPr id="63" name="Рисунок 76" descr="base_23792_85543_516"/>
                    <pic:cNvPicPr preferRelativeResize="0">
                      <a:picLocks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xml:space="preserve"> – количество i-х принтеров, многофункциональных устройств, копировальных аппаратов и иной оргтехники;</w:t>
      </w:r>
    </w:p>
    <w:p w14:paraId="0CC05577">
      <w:pPr>
        <w:pStyle w:val="8"/>
        <w:spacing w:line="360" w:lineRule="auto"/>
        <w:ind w:firstLine="709"/>
        <w:jc w:val="both"/>
        <w:rPr>
          <w:rFonts w:ascii="Times New Roman" w:hAnsi="Times New Roman" w:cs="Times New Roman"/>
          <w:sz w:val="28"/>
          <w:szCs w:val="28"/>
        </w:rPr>
      </w:pPr>
      <w:r>
        <w:rPr>
          <w:rFonts w:ascii="Times New Roman" w:hAnsi="Times New Roman" w:cs="Times New Roman"/>
          <w:position w:val="-14"/>
          <w:sz w:val="28"/>
          <w:szCs w:val="28"/>
        </w:rPr>
        <w:drawing>
          <wp:inline distT="0" distB="0" distL="0" distR="0">
            <wp:extent cx="352425" cy="257175"/>
            <wp:effectExtent l="0" t="0" r="0" b="0"/>
            <wp:docPr id="62" name="Рисунок 77" descr="base_23792_85543_517"/>
            <wp:cNvGraphicFramePr/>
            <a:graphic xmlns:a="http://schemas.openxmlformats.org/drawingml/2006/main">
              <a:graphicData uri="http://schemas.openxmlformats.org/drawingml/2006/picture">
                <pic:pic xmlns:pic="http://schemas.openxmlformats.org/drawingml/2006/picture">
                  <pic:nvPicPr>
                    <pic:cNvPr id="62" name="Рисунок 77" descr="base_23792_85543_517"/>
                    <pic:cNvPicPr preferRelativeResize="0">
                      <a:picLocks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–цена технического обслуживания и регламентно-профилактического ремонта i-х принтеров, многофункциональных устройств, копировальных аппаратов и иной оргтехники в год.</w:t>
      </w:r>
    </w:p>
    <w:p w14:paraId="499B703A">
      <w:pPr>
        <w:pStyle w:val="8"/>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Расчет затрат производится в соответствии с нормативами согласно таблице №5.</w:t>
      </w:r>
    </w:p>
    <w:p w14:paraId="6B2D2B2C">
      <w:pPr>
        <w:pStyle w:val="8"/>
        <w:spacing w:before="120" w:after="12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№5</w:t>
      </w:r>
    </w:p>
    <w:p w14:paraId="6BE9F5C6">
      <w:pPr>
        <w:widowControl w:val="0"/>
        <w:autoSpaceDE w:val="0"/>
        <w:autoSpaceDN w:val="0"/>
        <w:spacing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обслуживание и ремонт принтеров, многофункциональных устройств, копировальных аппаратов</w:t>
      </w:r>
      <w:r>
        <w:rPr>
          <w:rFonts w:ascii="Times New Roman" w:hAnsi="Times New Roman" w:cs="Times New Roman"/>
          <w:color w:val="FF0000"/>
          <w:sz w:val="28"/>
          <w:szCs w:val="28"/>
        </w:rPr>
        <w:t xml:space="preserve"> </w:t>
      </w:r>
      <w:r>
        <w:rPr>
          <w:rFonts w:ascii="Times New Roman" w:hAnsi="Times New Roman" w:cs="Times New Roman"/>
          <w:sz w:val="28"/>
          <w:szCs w:val="28"/>
        </w:rPr>
        <w:t>и иной оргтехники</w:t>
      </w:r>
    </w:p>
    <w:tbl>
      <w:tblPr>
        <w:tblStyle w:val="3"/>
        <w:tblW w:w="978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09"/>
        <w:gridCol w:w="5272"/>
      </w:tblGrid>
      <w:tr w14:paraId="1CFF7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9" w:type="dxa"/>
            <w:shd w:val="clear" w:color="auto" w:fill="auto"/>
          </w:tcPr>
          <w:p w14:paraId="09869F9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w:t>
            </w:r>
          </w:p>
        </w:tc>
        <w:tc>
          <w:tcPr>
            <w:tcW w:w="5272" w:type="dxa"/>
          </w:tcPr>
          <w:p w14:paraId="0CA47A9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годового технического обслуживания и регламентно-профилактического ремонта за единицу (рублей)</w:t>
            </w:r>
          </w:p>
        </w:tc>
      </w:tr>
      <w:tr w14:paraId="19B7F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1" w:type="dxa"/>
            <w:gridSpan w:val="2"/>
            <w:shd w:val="clear" w:color="auto" w:fill="auto"/>
          </w:tcPr>
          <w:p w14:paraId="58D90C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14:paraId="423F9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9" w:type="dxa"/>
            <w:shd w:val="clear" w:color="auto" w:fill="auto"/>
          </w:tcPr>
          <w:p w14:paraId="0FAF4C59">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w:t>
            </w:r>
          </w:p>
        </w:tc>
        <w:tc>
          <w:tcPr>
            <w:tcW w:w="5272" w:type="dxa"/>
          </w:tcPr>
          <w:p w14:paraId="5310B01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w:t>
            </w:r>
            <w:r>
              <w:rPr>
                <w:rFonts w:ascii="Times New Roman" w:hAnsi="Times New Roman" w:cs="Times New Roman"/>
                <w:sz w:val="28"/>
                <w:szCs w:val="28"/>
                <w:lang w:val="en-US"/>
              </w:rPr>
              <w:t>00</w:t>
            </w:r>
            <w:r>
              <w:rPr>
                <w:rFonts w:ascii="Times New Roman" w:hAnsi="Times New Roman" w:cs="Times New Roman"/>
                <w:sz w:val="28"/>
                <w:szCs w:val="28"/>
              </w:rPr>
              <w:t>,00</w:t>
            </w:r>
          </w:p>
        </w:tc>
      </w:tr>
      <w:tr w14:paraId="39153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9" w:type="dxa"/>
            <w:shd w:val="clear" w:color="auto" w:fill="auto"/>
          </w:tcPr>
          <w:p w14:paraId="1C703A6D">
            <w:pPr>
              <w:spacing w:after="0" w:line="240" w:lineRule="auto"/>
              <w:rPr>
                <w:rFonts w:ascii="Times New Roman" w:hAnsi="Times New Roman" w:cs="Times New Roman"/>
                <w:sz w:val="28"/>
                <w:szCs w:val="28"/>
              </w:rPr>
            </w:pPr>
            <w:r>
              <w:rPr>
                <w:rFonts w:ascii="Times New Roman" w:hAnsi="Times New Roman" w:cs="Times New Roman"/>
                <w:sz w:val="28"/>
                <w:szCs w:val="28"/>
              </w:rPr>
              <w:t>Многофункциональное устройство</w:t>
            </w:r>
          </w:p>
        </w:tc>
        <w:tc>
          <w:tcPr>
            <w:tcW w:w="5272" w:type="dxa"/>
          </w:tcPr>
          <w:p w14:paraId="187E1C6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14:paraId="075C3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9" w:type="dxa"/>
            <w:shd w:val="clear" w:color="auto" w:fill="auto"/>
          </w:tcPr>
          <w:p w14:paraId="7DF547D2">
            <w:pPr>
              <w:spacing w:after="0" w:line="240" w:lineRule="auto"/>
              <w:rPr>
                <w:rFonts w:ascii="Times New Roman" w:hAnsi="Times New Roman" w:cs="Times New Roman"/>
                <w:sz w:val="28"/>
                <w:szCs w:val="28"/>
              </w:rPr>
            </w:pPr>
            <w:r>
              <w:rPr>
                <w:rFonts w:ascii="Times New Roman" w:hAnsi="Times New Roman" w:cs="Times New Roman"/>
                <w:sz w:val="28"/>
                <w:szCs w:val="28"/>
              </w:rPr>
              <w:t>Иная оргтехника (сканер, уничтожитель бумаги)</w:t>
            </w:r>
          </w:p>
        </w:tc>
        <w:tc>
          <w:tcPr>
            <w:tcW w:w="5272" w:type="dxa"/>
          </w:tcPr>
          <w:p w14:paraId="45D13E9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14:paraId="01E72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1" w:type="dxa"/>
            <w:gridSpan w:val="2"/>
            <w:shd w:val="clear" w:color="auto" w:fill="auto"/>
          </w:tcPr>
          <w:p w14:paraId="0769D39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учреждение</w:t>
            </w:r>
          </w:p>
        </w:tc>
      </w:tr>
      <w:tr w14:paraId="1E223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9" w:type="dxa"/>
            <w:shd w:val="clear" w:color="auto" w:fill="auto"/>
          </w:tcPr>
          <w:p w14:paraId="16644CC7">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w:t>
            </w:r>
          </w:p>
        </w:tc>
        <w:tc>
          <w:tcPr>
            <w:tcW w:w="5272" w:type="dxa"/>
          </w:tcPr>
          <w:p w14:paraId="20E2213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14:paraId="47202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9" w:type="dxa"/>
            <w:shd w:val="clear" w:color="auto" w:fill="auto"/>
          </w:tcPr>
          <w:p w14:paraId="59423FF2">
            <w:pPr>
              <w:spacing w:after="0" w:line="240" w:lineRule="auto"/>
              <w:rPr>
                <w:rFonts w:ascii="Times New Roman" w:hAnsi="Times New Roman" w:cs="Times New Roman"/>
                <w:sz w:val="28"/>
                <w:szCs w:val="28"/>
              </w:rPr>
            </w:pPr>
            <w:r>
              <w:rPr>
                <w:rFonts w:ascii="Times New Roman" w:hAnsi="Times New Roman" w:cs="Times New Roman"/>
                <w:sz w:val="28"/>
                <w:szCs w:val="28"/>
              </w:rPr>
              <w:t>Многофункциональное устройство</w:t>
            </w:r>
          </w:p>
        </w:tc>
        <w:tc>
          <w:tcPr>
            <w:tcW w:w="5272" w:type="dxa"/>
          </w:tcPr>
          <w:p w14:paraId="5D9C100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bl>
    <w:p w14:paraId="771D6DA6">
      <w:pPr>
        <w:pStyle w:val="8"/>
        <w:tabs>
          <w:tab w:val="left" w:pos="1985"/>
        </w:tabs>
        <w:spacing w:line="360" w:lineRule="auto"/>
        <w:ind w:firstLine="709"/>
        <w:jc w:val="both"/>
        <w:rPr>
          <w:rFonts w:ascii="Times New Roman" w:hAnsi="Times New Roman" w:cs="Times New Roman"/>
          <w:sz w:val="28"/>
          <w:szCs w:val="28"/>
        </w:rPr>
      </w:pPr>
    </w:p>
    <w:p w14:paraId="3F0473AA">
      <w:pPr>
        <w:pStyle w:val="8"/>
        <w:tabs>
          <w:tab w:val="left" w:pos="1985"/>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2.3. Затраты на заправку картриджей к принтерам, многофункциональным устройствам, копировальным аппаратам и иной оргтехнике (З</w:t>
      </w:r>
      <w:r>
        <w:rPr>
          <w:rFonts w:ascii="Times New Roman" w:hAnsi="Times New Roman" w:cs="Times New Roman"/>
          <w:sz w:val="28"/>
          <w:szCs w:val="28"/>
          <w:vertAlign w:val="subscript"/>
        </w:rPr>
        <w:t>зк</w:t>
      </w:r>
      <w:r>
        <w:rPr>
          <w:rFonts w:ascii="Times New Roman" w:hAnsi="Times New Roman" w:cs="Times New Roman"/>
          <w:sz w:val="28"/>
          <w:szCs w:val="28"/>
        </w:rPr>
        <w:t>), определяемые по формуле:</w:t>
      </w:r>
    </w:p>
    <w:p w14:paraId="28D60C10">
      <w:pPr>
        <w:pStyle w:val="8"/>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ctrlPr>
                <w:rPr>
                  <w:rFonts w:ascii="Cambria Math" w:hAnsi="Cambria Math" w:cs="Times New Roman"/>
                  <w:sz w:val="28"/>
                  <w:szCs w:val="28"/>
                </w:rPr>
              </m:ctrlPr>
            </m:e>
            <m:sub>
              <m:r>
                <m:rPr>
                  <m:sty m:val="p"/>
                </m:rPr>
                <w:rPr>
                  <w:rFonts w:ascii="Cambria Math" w:hAnsi="Cambria Math" w:cs="Times New Roman"/>
                  <w:sz w:val="28"/>
                  <w:szCs w:val="28"/>
                </w:rPr>
                <m:t>зк</m:t>
              </m:r>
              <m:ctrlPr>
                <w:rPr>
                  <w:rFonts w:ascii="Cambria Math" w:hAnsi="Cambria Math" w:cs="Times New Roman"/>
                  <w:sz w:val="28"/>
                  <w:szCs w:val="28"/>
                </w:rPr>
              </m:ctrlPr>
            </m:sub>
          </m:sSub>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ctrlPr>
                <w:rPr>
                  <w:rFonts w:ascii="Cambria Math" w:hAnsi="Cambria Math" w:cs="Times New Roman"/>
                  <w:sz w:val="28"/>
                  <w:szCs w:val="28"/>
                </w:rPr>
              </m:ctrlPr>
            </m:sub>
            <m:sup>
              <m:r>
                <m:rPr>
                  <m:sty m:val="p"/>
                </m:rPr>
                <w:rPr>
                  <w:rFonts w:ascii="Cambria Math" w:hAnsi="Cambria Math" w:cs="Times New Roman"/>
                  <w:sz w:val="28"/>
                  <w:szCs w:val="28"/>
                  <w:lang w:val="en-US"/>
                </w:rPr>
                <m:t>n</m:t>
              </m:r>
              <m:ctrlPr>
                <w:rPr>
                  <w:rFonts w:ascii="Cambria Math" w:hAnsi="Cambria Math" w:cs="Times New Roman"/>
                  <w:sz w:val="28"/>
                  <w:szCs w:val="28"/>
                </w:rPr>
              </m:ctrlP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ctrlPr>
                    <w:rPr>
                      <w:rFonts w:ascii="Cambria Math" w:hAnsi="Cambria Math" w:cs="Times New Roman"/>
                      <w:sz w:val="28"/>
                      <w:szCs w:val="28"/>
                    </w:rPr>
                  </m:ctrlPr>
                </m:e>
                <m:sub>
                  <m:r>
                    <m:rPr>
                      <m:sty m:val="p"/>
                    </m:rPr>
                    <w:rPr>
                      <w:rFonts w:ascii="Cambria Math" w:hAnsi="Cambria Math" w:cs="Times New Roman"/>
                      <w:sz w:val="28"/>
                      <w:szCs w:val="28"/>
                    </w:rPr>
                    <m:t>i зк</m:t>
                  </m:r>
                  <m:ctrlPr>
                    <w:rPr>
                      <w:rFonts w:ascii="Cambria Math" w:hAnsi="Cambria Math" w:cs="Times New Roman"/>
                      <w:sz w:val="28"/>
                      <w:szCs w:val="28"/>
                    </w:rPr>
                  </m:ctrlP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w:rPr>
                      <w:rFonts w:ascii="Cambria Math" w:hAnsi="Cambria Math" w:cs="Times New Roman"/>
                      <w:sz w:val="28"/>
                      <w:szCs w:val="28"/>
                    </w:rPr>
                    <m:t>Р</m:t>
                  </m:r>
                  <m:ctrlPr>
                    <w:rPr>
                      <w:rFonts w:ascii="Cambria Math" w:hAnsi="Cambria Math" w:cs="Times New Roman"/>
                      <w:sz w:val="28"/>
                      <w:szCs w:val="28"/>
                    </w:rPr>
                  </m:ctrlPr>
                </m:e>
                <m:sub>
                  <m:r>
                    <m:rPr>
                      <m:sty m:val="p"/>
                    </m:rPr>
                    <w:rPr>
                      <w:rFonts w:ascii="Cambria Math" w:hAnsi="Cambria Math" w:cs="Times New Roman"/>
                      <w:sz w:val="28"/>
                      <w:szCs w:val="28"/>
                    </w:rPr>
                    <m:t>i зк</m:t>
                  </m:r>
                  <m:ctrlPr>
                    <w:rPr>
                      <w:rFonts w:ascii="Cambria Math" w:hAnsi="Cambria Math" w:cs="Times New Roman"/>
                      <w:sz w:val="28"/>
                      <w:szCs w:val="28"/>
                    </w:rPr>
                  </m:ctrlPr>
                </m:sub>
              </m:sSub>
              <m:ctrlPr>
                <w:rPr>
                  <w:rFonts w:ascii="Cambria Math" w:hAnsi="Cambria Math" w:cs="Times New Roman"/>
                  <w:sz w:val="28"/>
                  <w:szCs w:val="28"/>
                </w:rPr>
              </m:ctrlPr>
            </m:e>
          </m:nary>
          <m:r>
            <m:rPr>
              <m:sty m:val="p"/>
            </m:rPr>
            <w:rPr>
              <w:rFonts w:ascii="Cambria Math" w:hAnsi="Cambria Math" w:cs="Times New Roman"/>
              <w:sz w:val="28"/>
              <w:szCs w:val="28"/>
            </w:rPr>
            <m:t>, где:</m:t>
          </m:r>
        </m:oMath>
      </m:oMathPara>
    </w:p>
    <w:p w14:paraId="36998A58">
      <w:pPr>
        <w:pStyle w:val="8"/>
        <w:spacing w:line="360" w:lineRule="auto"/>
        <w:ind w:firstLine="709"/>
        <w:jc w:val="both"/>
        <w:rPr>
          <w:rFonts w:ascii="Times New Roman" w:hAnsi="Times New Roman" w:cs="Times New Roman"/>
          <w:sz w:val="28"/>
          <w:szCs w:val="28"/>
        </w:rPr>
      </w:pPr>
    </w:p>
    <w:p w14:paraId="614A1FC8">
      <w:pPr>
        <w:pStyle w:val="8"/>
        <w:spacing w:line="360" w:lineRule="auto"/>
        <w:ind w:firstLine="709"/>
        <w:jc w:val="both"/>
        <w:rPr>
          <w:rFonts w:ascii="Times New Roman" w:hAnsi="Times New Roman" w:cs="Times New Roman"/>
          <w:sz w:val="28"/>
          <w:szCs w:val="28"/>
        </w:rPr>
      </w:pPr>
    </w:p>
    <w:p w14:paraId="3B5D2537">
      <w:pPr>
        <w:pStyle w:val="8"/>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ctrlPr>
              <w:rPr>
                <w:rFonts w:ascii="Cambria Math" w:hAnsi="Cambria Math" w:cs="Times New Roman"/>
                <w:sz w:val="28"/>
                <w:szCs w:val="28"/>
              </w:rPr>
            </m:ctrlPr>
          </m:e>
          <m:sub>
            <m:r>
              <m:rPr>
                <m:sty m:val="p"/>
              </m:rPr>
              <w:rPr>
                <w:rFonts w:ascii="Cambria Math" w:hAnsi="Cambria Math" w:cs="Times New Roman"/>
                <w:sz w:val="28"/>
                <w:szCs w:val="28"/>
              </w:rPr>
              <m:t>i зк</m:t>
            </m:r>
            <m:ctrlPr>
              <w:rPr>
                <w:rFonts w:ascii="Cambria Math" w:hAnsi="Cambria Math" w:cs="Times New Roman"/>
                <w:sz w:val="28"/>
                <w:szCs w:val="28"/>
              </w:rPr>
            </m:ctrlPr>
          </m:sub>
        </m:sSub>
      </m:oMath>
      <w:r>
        <w:rPr>
          <w:rFonts w:ascii="Times New Roman" w:hAnsi="Times New Roman" w:cs="Times New Roman"/>
          <w:sz w:val="28"/>
          <w:szCs w:val="28"/>
        </w:rPr>
        <w:t>– количество i-х принтеров, многофункциональных устройств, копировальных аппаратов и иной оргтехники;</w:t>
      </w:r>
    </w:p>
    <w:p w14:paraId="7F698140">
      <w:pPr>
        <w:pStyle w:val="8"/>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w:rPr>
                <w:rFonts w:ascii="Cambria Math" w:hAnsi="Cambria Math" w:cs="Times New Roman"/>
                <w:sz w:val="28"/>
                <w:szCs w:val="28"/>
              </w:rPr>
              <m:t>Р</m:t>
            </m:r>
            <m:ctrlPr>
              <w:rPr>
                <w:rFonts w:ascii="Cambria Math" w:hAnsi="Cambria Math" w:cs="Times New Roman"/>
                <w:sz w:val="28"/>
                <w:szCs w:val="28"/>
              </w:rPr>
            </m:ctrlPr>
          </m:e>
          <m:sub>
            <m:r>
              <m:rPr>
                <m:sty m:val="p"/>
              </m:rPr>
              <w:rPr>
                <w:rFonts w:ascii="Cambria Math" w:hAnsi="Cambria Math" w:cs="Times New Roman"/>
                <w:sz w:val="28"/>
                <w:szCs w:val="28"/>
              </w:rPr>
              <m:t>i зк</m:t>
            </m:r>
            <m:ctrlPr>
              <w:rPr>
                <w:rFonts w:ascii="Cambria Math" w:hAnsi="Cambria Math" w:cs="Times New Roman"/>
                <w:sz w:val="28"/>
                <w:szCs w:val="28"/>
              </w:rPr>
            </m:ctrlPr>
          </m:sub>
        </m:sSub>
      </m:oMath>
      <w:r>
        <w:rPr>
          <w:rFonts w:ascii="Times New Roman" w:hAnsi="Times New Roman" w:cs="Times New Roman"/>
          <w:sz w:val="28"/>
          <w:szCs w:val="28"/>
        </w:rPr>
        <w:t xml:space="preserve">– цена заправки картриджа к </w:t>
      </w:r>
      <w:r>
        <w:rPr>
          <w:rFonts w:ascii="Times New Roman" w:hAnsi="Times New Roman" w:cs="Times New Roman"/>
          <w:sz w:val="28"/>
          <w:szCs w:val="28"/>
          <w:lang w:val="en-US"/>
        </w:rPr>
        <w:t>i</w:t>
      </w:r>
      <w:r>
        <w:rPr>
          <w:rFonts w:ascii="Times New Roman" w:hAnsi="Times New Roman" w:cs="Times New Roman"/>
          <w:sz w:val="28"/>
          <w:szCs w:val="28"/>
        </w:rPr>
        <w:t>-м принтерам, многофункциональным устройствам, копировальным аппаратам и иной оргтехнике в год.</w:t>
      </w:r>
    </w:p>
    <w:p w14:paraId="0D905F07">
      <w:pPr>
        <w:pStyle w:val="8"/>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№6.</w:t>
      </w:r>
    </w:p>
    <w:p w14:paraId="769A3CDF">
      <w:pPr>
        <w:spacing w:after="120" w:line="360" w:lineRule="auto"/>
        <w:jc w:val="right"/>
        <w:rPr>
          <w:rFonts w:ascii="Times New Roman" w:hAnsi="Times New Roman" w:cs="Times New Roman"/>
          <w:sz w:val="28"/>
          <w:szCs w:val="28"/>
        </w:rPr>
      </w:pPr>
      <w:r>
        <w:rPr>
          <w:rFonts w:ascii="Times New Roman" w:hAnsi="Times New Roman" w:cs="Times New Roman"/>
          <w:sz w:val="28"/>
          <w:szCs w:val="28"/>
        </w:rPr>
        <w:t>Таблица№ 6</w:t>
      </w:r>
    </w:p>
    <w:p w14:paraId="1F9AF1C4">
      <w:pPr>
        <w:widowControl w:val="0"/>
        <w:autoSpaceDE w:val="0"/>
        <w:autoSpaceDN w:val="0"/>
        <w:spacing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заправку картриджей к принтерам, многофункциональным устройствам и иной оргтехники</w:t>
      </w:r>
    </w:p>
    <w:tbl>
      <w:tblPr>
        <w:tblStyle w:val="3"/>
        <w:tblW w:w="1011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21"/>
        <w:gridCol w:w="4882"/>
      </w:tblGrid>
      <w:tr w14:paraId="784B1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5309" w:type="dxa"/>
            <w:tcBorders>
              <w:top w:val="single" w:color="auto" w:sz="4" w:space="0"/>
              <w:left w:val="single" w:color="auto" w:sz="4" w:space="0"/>
              <w:bottom w:val="single" w:color="auto" w:sz="4" w:space="0"/>
              <w:right w:val="single" w:color="auto" w:sz="4" w:space="0"/>
            </w:tcBorders>
          </w:tcPr>
          <w:p w14:paraId="1639C21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устройства</w:t>
            </w:r>
          </w:p>
        </w:tc>
        <w:tc>
          <w:tcPr>
            <w:tcW w:w="4806" w:type="dxa"/>
            <w:tcBorders>
              <w:top w:val="single" w:color="auto" w:sz="4" w:space="0"/>
              <w:left w:val="single" w:color="auto" w:sz="4" w:space="0"/>
              <w:bottom w:val="single" w:color="auto" w:sz="4" w:space="0"/>
              <w:right w:val="single" w:color="auto" w:sz="4" w:space="0"/>
            </w:tcBorders>
          </w:tcPr>
          <w:p w14:paraId="40D70C8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заправки картриджа</w:t>
            </w:r>
          </w:p>
          <w:p w14:paraId="15083E4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за единицу устройства в год (рублей) </w:t>
            </w:r>
          </w:p>
        </w:tc>
      </w:tr>
      <w:tr w14:paraId="4F542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15" w:type="dxa"/>
            <w:gridSpan w:val="2"/>
            <w:tcBorders>
              <w:top w:val="single" w:color="auto" w:sz="4" w:space="0"/>
              <w:left w:val="single" w:color="auto" w:sz="4" w:space="0"/>
              <w:bottom w:val="single" w:color="auto" w:sz="4" w:space="0"/>
              <w:right w:val="single" w:color="auto" w:sz="4" w:space="0"/>
            </w:tcBorders>
          </w:tcPr>
          <w:p w14:paraId="48B7D43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14:paraId="3FBA8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15" w:type="dxa"/>
            <w:gridSpan w:val="2"/>
            <w:tcBorders>
              <w:top w:val="single" w:color="auto" w:sz="4" w:space="0"/>
              <w:left w:val="single" w:color="auto" w:sz="4" w:space="0"/>
              <w:bottom w:val="single" w:color="auto" w:sz="4" w:space="0"/>
              <w:right w:val="single" w:color="auto" w:sz="4" w:space="0"/>
            </w:tcBorders>
          </w:tcPr>
          <w:tbl>
            <w:tblPr>
              <w:tblStyle w:val="3"/>
              <w:tblW w:w="99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05"/>
              <w:gridCol w:w="5272"/>
            </w:tblGrid>
            <w:tr w14:paraId="400E8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05" w:type="dxa"/>
                  <w:tcBorders>
                    <w:top w:val="single" w:color="auto" w:sz="4" w:space="0"/>
                    <w:left w:val="single" w:color="auto" w:sz="4" w:space="0"/>
                    <w:bottom w:val="single" w:color="auto" w:sz="4" w:space="0"/>
                    <w:right w:val="single" w:color="auto" w:sz="4" w:space="0"/>
                  </w:tcBorders>
                </w:tcPr>
                <w:p w14:paraId="7357D20E">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w:t>
                  </w:r>
                </w:p>
              </w:tc>
              <w:tc>
                <w:tcPr>
                  <w:tcW w:w="5272" w:type="dxa"/>
                  <w:tcBorders>
                    <w:top w:val="single" w:color="auto" w:sz="4" w:space="0"/>
                    <w:left w:val="single" w:color="auto" w:sz="4" w:space="0"/>
                    <w:right w:val="single" w:color="auto" w:sz="4" w:space="0"/>
                  </w:tcBorders>
                </w:tcPr>
                <w:p w14:paraId="0B225B20">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rPr>
                    <w:t xml:space="preserve"> не более 50 000,00</w:t>
                  </w:r>
                </w:p>
              </w:tc>
            </w:tr>
          </w:tbl>
          <w:p w14:paraId="17A8BF2B">
            <w:pPr>
              <w:spacing w:after="0" w:line="240" w:lineRule="auto"/>
              <w:jc w:val="center"/>
              <w:rPr>
                <w:rFonts w:ascii="Times New Roman" w:hAnsi="Times New Roman" w:cs="Times New Roman"/>
                <w:sz w:val="28"/>
                <w:szCs w:val="28"/>
              </w:rPr>
            </w:pPr>
          </w:p>
        </w:tc>
      </w:tr>
      <w:tr w14:paraId="461D4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15" w:type="dxa"/>
            <w:gridSpan w:val="2"/>
            <w:tcBorders>
              <w:top w:val="single" w:color="auto" w:sz="4" w:space="0"/>
              <w:left w:val="single" w:color="auto" w:sz="4" w:space="0"/>
              <w:bottom w:val="single" w:color="auto" w:sz="4" w:space="0"/>
              <w:right w:val="single" w:color="auto" w:sz="4" w:space="0"/>
            </w:tcBorders>
          </w:tcPr>
          <w:p w14:paraId="0A3C4B31">
            <w:pPr>
              <w:spacing w:after="0" w:line="240" w:lineRule="auto"/>
              <w:rPr>
                <w:rFonts w:ascii="Times New Roman" w:hAnsi="Times New Roman" w:cs="Times New Roman"/>
                <w:sz w:val="28"/>
                <w:szCs w:val="28"/>
              </w:rPr>
            </w:pPr>
            <w:r>
              <w:rPr>
                <w:rFonts w:ascii="Times New Roman" w:hAnsi="Times New Roman" w:cs="Times New Roman"/>
                <w:sz w:val="28"/>
                <w:szCs w:val="28"/>
              </w:rPr>
              <w:t>Многофункциональное устройство                               не более 50 000,00</w:t>
            </w:r>
          </w:p>
        </w:tc>
      </w:tr>
      <w:tr w14:paraId="1B367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15" w:type="dxa"/>
            <w:gridSpan w:val="2"/>
            <w:tcBorders>
              <w:top w:val="single" w:color="auto" w:sz="4" w:space="0"/>
              <w:left w:val="single" w:color="auto" w:sz="4" w:space="0"/>
              <w:bottom w:val="single" w:color="auto" w:sz="4" w:space="0"/>
              <w:right w:val="single" w:color="auto" w:sz="4" w:space="0"/>
            </w:tcBorders>
          </w:tcPr>
          <w:p w14:paraId="4794315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учреждение</w:t>
            </w:r>
          </w:p>
        </w:tc>
      </w:tr>
      <w:tr w14:paraId="74D14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09" w:type="dxa"/>
            <w:tcBorders>
              <w:top w:val="single" w:color="auto" w:sz="4" w:space="0"/>
              <w:left w:val="single" w:color="auto" w:sz="4" w:space="0"/>
              <w:bottom w:val="single" w:color="auto" w:sz="4" w:space="0"/>
              <w:right w:val="single" w:color="auto" w:sz="4" w:space="0"/>
            </w:tcBorders>
          </w:tcPr>
          <w:p w14:paraId="73C0D41E">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w:t>
            </w:r>
          </w:p>
        </w:tc>
        <w:tc>
          <w:tcPr>
            <w:tcW w:w="4806" w:type="dxa"/>
            <w:vMerge w:val="restart"/>
            <w:tcBorders>
              <w:top w:val="single" w:color="auto" w:sz="4" w:space="0"/>
              <w:left w:val="single" w:color="auto" w:sz="4" w:space="0"/>
              <w:right w:val="single" w:color="auto" w:sz="4" w:space="0"/>
            </w:tcBorders>
          </w:tcPr>
          <w:p w14:paraId="4796874C">
            <w:pPr>
              <w:spacing w:after="0" w:line="240" w:lineRule="auto"/>
              <w:rPr>
                <w:rFonts w:ascii="Times New Roman" w:hAnsi="Times New Roman" w:cs="Times New Roman"/>
                <w:sz w:val="28"/>
                <w:szCs w:val="28"/>
                <w:lang w:val="en-US"/>
              </w:rPr>
            </w:pPr>
            <w:r>
              <w:rPr>
                <w:rFonts w:ascii="Times New Roman" w:hAnsi="Times New Roman" w:cs="Times New Roman"/>
                <w:sz w:val="28"/>
                <w:szCs w:val="28"/>
              </w:rPr>
              <w:t xml:space="preserve">        не более 30 000,00</w:t>
            </w:r>
          </w:p>
        </w:tc>
      </w:tr>
      <w:tr w14:paraId="77B5F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09" w:type="dxa"/>
            <w:tcBorders>
              <w:top w:val="single" w:color="auto" w:sz="4" w:space="0"/>
              <w:left w:val="single" w:color="auto" w:sz="4" w:space="0"/>
              <w:bottom w:val="single" w:color="auto" w:sz="4" w:space="0"/>
              <w:right w:val="single" w:color="auto" w:sz="4" w:space="0"/>
            </w:tcBorders>
          </w:tcPr>
          <w:p w14:paraId="1B9BB80A">
            <w:pPr>
              <w:spacing w:after="0" w:line="240" w:lineRule="auto"/>
              <w:rPr>
                <w:rFonts w:ascii="Times New Roman" w:hAnsi="Times New Roman" w:cs="Times New Roman"/>
                <w:sz w:val="28"/>
                <w:szCs w:val="28"/>
              </w:rPr>
            </w:pPr>
            <w:r>
              <w:rPr>
                <w:rFonts w:ascii="Times New Roman" w:hAnsi="Times New Roman" w:cs="Times New Roman"/>
                <w:sz w:val="28"/>
                <w:szCs w:val="28"/>
              </w:rPr>
              <w:t>Многофункциональное устройство</w:t>
            </w:r>
          </w:p>
        </w:tc>
        <w:tc>
          <w:tcPr>
            <w:tcW w:w="4806" w:type="dxa"/>
            <w:vMerge w:val="continue"/>
            <w:tcBorders>
              <w:left w:val="single" w:color="auto" w:sz="4" w:space="0"/>
              <w:right w:val="single" w:color="auto" w:sz="4" w:space="0"/>
            </w:tcBorders>
          </w:tcPr>
          <w:p w14:paraId="3FF01081">
            <w:pPr>
              <w:spacing w:after="0" w:line="240" w:lineRule="auto"/>
              <w:jc w:val="center"/>
              <w:rPr>
                <w:rFonts w:ascii="Times New Roman" w:hAnsi="Times New Roman" w:cs="Times New Roman"/>
                <w:sz w:val="28"/>
                <w:szCs w:val="28"/>
              </w:rPr>
            </w:pPr>
          </w:p>
        </w:tc>
      </w:tr>
    </w:tbl>
    <w:p w14:paraId="17F42EC8">
      <w:pPr>
        <w:pStyle w:val="8"/>
        <w:spacing w:line="360" w:lineRule="auto"/>
        <w:ind w:firstLine="709"/>
        <w:jc w:val="both"/>
        <w:rPr>
          <w:rFonts w:ascii="Times New Roman" w:hAnsi="Times New Roman" w:cs="Times New Roman"/>
          <w:sz w:val="28"/>
          <w:szCs w:val="28"/>
        </w:rPr>
      </w:pPr>
    </w:p>
    <w:p w14:paraId="4AD00915">
      <w:pPr>
        <w:pStyle w:val="8"/>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2.4. Затраты на программное и сетевое обслуживание компьютерной техники (З</w:t>
      </w:r>
      <w:r>
        <w:rPr>
          <w:rFonts w:ascii="Times New Roman" w:hAnsi="Times New Roman" w:cs="Times New Roman"/>
          <w:sz w:val="28"/>
          <w:szCs w:val="28"/>
          <w:vertAlign w:val="subscript"/>
        </w:rPr>
        <w:t>кт</w:t>
      </w:r>
      <w:r>
        <w:rPr>
          <w:rFonts w:ascii="Times New Roman" w:hAnsi="Times New Roman" w:cs="Times New Roman"/>
          <w:sz w:val="28"/>
          <w:szCs w:val="28"/>
        </w:rPr>
        <w:t>), определяемые по формуле:</w:t>
      </w:r>
    </w:p>
    <w:p w14:paraId="384D33F1">
      <w:pPr>
        <w:pStyle w:val="8"/>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ctrlPr>
                <w:rPr>
                  <w:rFonts w:ascii="Cambria Math" w:hAnsi="Cambria Math" w:cs="Times New Roman"/>
                  <w:sz w:val="28"/>
                  <w:szCs w:val="28"/>
                </w:rPr>
              </m:ctrlPr>
            </m:e>
            <m:sub>
              <m:r>
                <m:rPr/>
                <w:rPr>
                  <w:rFonts w:ascii="Cambria Math" w:hAnsi="Cambria Math" w:cs="Times New Roman"/>
                  <w:sz w:val="28"/>
                  <w:szCs w:val="28"/>
                </w:rPr>
                <m:t>кт</m:t>
              </m:r>
              <m:ctrlPr>
                <w:rPr>
                  <w:rFonts w:ascii="Cambria Math" w:hAnsi="Cambria Math" w:cs="Times New Roman"/>
                  <w:sz w:val="28"/>
                  <w:szCs w:val="28"/>
                </w:rPr>
              </m:ctrlPr>
            </m:sub>
          </m:sSub>
          <m:r>
            <m:rPr>
              <m:lit/>
              <m:sty m:val="p"/>
            </m:rPr>
            <w:rPr>
              <w:rFonts w:ascii="Cambria Math" w:hAnsi="Cambria Math" w:cs="Times New Roman"/>
              <w:sz w:val="28"/>
              <w:szCs w:val="28"/>
            </w:rPr>
            <m:t>=</m:t>
          </m:r>
          <m:sSub>
            <m:sSubPr>
              <m:ctrlPr>
                <w:rPr>
                  <w:rFonts w:ascii="Cambria Math" w:hAnsi="Cambria Math" w:cs="Times New Roman"/>
                  <w:i/>
                  <w:sz w:val="28"/>
                  <w:szCs w:val="28"/>
                  <w:lang w:val="en-US"/>
                </w:rPr>
              </m:ctrlPr>
            </m:sSubPr>
            <m:e>
              <m:r>
                <m:rPr/>
                <w:rPr>
                  <w:rFonts w:ascii="Cambria Math" w:hAnsi="Cambria Math" w:cs="Times New Roman"/>
                  <w:sz w:val="28"/>
                  <w:szCs w:val="28"/>
                  <w:lang w:val="en-US"/>
                </w:rPr>
                <m:t>N</m:t>
              </m:r>
              <m:ctrlPr>
                <w:rPr>
                  <w:rFonts w:ascii="Cambria Math" w:hAnsi="Cambria Math" w:cs="Times New Roman"/>
                  <w:i/>
                  <w:sz w:val="28"/>
                  <w:szCs w:val="28"/>
                  <w:lang w:val="en-US"/>
                </w:rPr>
              </m:ctrlPr>
            </m:e>
            <m:sub>
              <m:r>
                <m:rPr/>
                <w:rPr>
                  <w:rFonts w:ascii="Cambria Math" w:hAnsi="Cambria Math" w:cs="Times New Roman"/>
                  <w:sz w:val="28"/>
                  <w:szCs w:val="28"/>
                  <w:lang w:val="en-US"/>
                </w:rPr>
                <m:t xml:space="preserve">i </m:t>
              </m:r>
              <m:r>
                <m:rPr/>
                <w:rPr>
                  <w:rFonts w:ascii="Cambria Math" w:hAnsi="Cambria Math" w:cs="Times New Roman"/>
                  <w:sz w:val="28"/>
                  <w:szCs w:val="28"/>
                </w:rPr>
                <m:t>кт</m:t>
              </m:r>
              <m:ctrlPr>
                <w:rPr>
                  <w:rFonts w:ascii="Cambria Math" w:hAnsi="Cambria Math" w:cs="Times New Roman"/>
                  <w:i/>
                  <w:sz w:val="28"/>
                  <w:szCs w:val="28"/>
                  <w:lang w:val="en-US"/>
                </w:rPr>
              </m:ctrlPr>
            </m:sub>
          </m:sSub>
          <m:r>
            <m:rPr/>
            <w:rPr>
              <w:rFonts w:ascii="Cambria Math" w:hAnsi="Cambria Math" w:cs="Times New Roman"/>
              <w:sz w:val="28"/>
              <w:szCs w:val="28"/>
              <w:lang w:val="en-US"/>
            </w:rPr>
            <m:t xml:space="preserve">∗ </m:t>
          </m:r>
          <m:sSub>
            <m:sSubPr>
              <m:ctrlPr>
                <w:rPr>
                  <w:rFonts w:ascii="Cambria Math" w:hAnsi="Cambria Math" w:cs="Times New Roman"/>
                  <w:i/>
                  <w:sz w:val="28"/>
                  <w:szCs w:val="28"/>
                  <w:lang w:val="en-US"/>
                </w:rPr>
              </m:ctrlPr>
            </m:sSubPr>
            <m:e>
              <m:r>
                <m:rPr/>
                <w:rPr>
                  <w:rFonts w:ascii="Cambria Math" w:hAnsi="Cambria Math" w:cs="Times New Roman"/>
                  <w:sz w:val="28"/>
                  <w:szCs w:val="28"/>
                  <w:lang w:val="en-US"/>
                </w:rPr>
                <m:t>P</m:t>
              </m:r>
              <m:ctrlPr>
                <w:rPr>
                  <w:rFonts w:ascii="Cambria Math" w:hAnsi="Cambria Math" w:cs="Times New Roman"/>
                  <w:i/>
                  <w:sz w:val="28"/>
                  <w:szCs w:val="28"/>
                  <w:lang w:val="en-US"/>
                </w:rPr>
              </m:ctrlPr>
            </m:e>
            <m:sub>
              <m:r>
                <m:rPr/>
                <w:rPr>
                  <w:rFonts w:ascii="Cambria Math" w:hAnsi="Cambria Math" w:cs="Times New Roman"/>
                  <w:sz w:val="28"/>
                  <w:szCs w:val="28"/>
                  <w:lang w:val="en-US"/>
                </w:rPr>
                <m:t xml:space="preserve">i </m:t>
              </m:r>
              <m:r>
                <m:rPr/>
                <w:rPr>
                  <w:rFonts w:ascii="Cambria Math" w:hAnsi="Cambria Math" w:cs="Times New Roman"/>
                  <w:sz w:val="28"/>
                  <w:szCs w:val="28"/>
                </w:rPr>
                <m:t>кт</m:t>
              </m:r>
              <m:ctrlPr>
                <w:rPr>
                  <w:rFonts w:ascii="Cambria Math" w:hAnsi="Cambria Math" w:cs="Times New Roman"/>
                  <w:i/>
                  <w:sz w:val="28"/>
                  <w:szCs w:val="28"/>
                  <w:lang w:val="en-US"/>
                </w:rPr>
              </m:ctrlPr>
            </m:sub>
          </m:sSub>
          <m:r>
            <m:rPr>
              <m:sty m:val="p"/>
            </m:rPr>
            <w:rPr>
              <w:rFonts w:ascii="Cambria Math" w:hAnsi="Cambria Math" w:cs="Times New Roman"/>
              <w:sz w:val="28"/>
              <w:szCs w:val="28"/>
            </w:rPr>
            <m:t>, где:</m:t>
          </m:r>
        </m:oMath>
      </m:oMathPara>
    </w:p>
    <w:p w14:paraId="04CE74A7">
      <w:pPr>
        <w:pStyle w:val="8"/>
        <w:spacing w:line="360" w:lineRule="auto"/>
        <w:ind w:firstLine="708"/>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m:rPr/>
              <w:rPr>
                <w:rFonts w:ascii="Cambria Math" w:hAnsi="Cambria Math" w:cs="Times New Roman"/>
                <w:sz w:val="28"/>
                <w:szCs w:val="28"/>
                <w:lang w:val="en-US"/>
              </w:rPr>
              <m:t>N</m:t>
            </m:r>
            <m:ctrlPr>
              <w:rPr>
                <w:rFonts w:ascii="Cambria Math" w:hAnsi="Cambria Math" w:cs="Times New Roman"/>
                <w:i/>
                <w:sz w:val="28"/>
                <w:szCs w:val="28"/>
                <w:lang w:val="en-US"/>
              </w:rPr>
            </m:ctrlPr>
          </m:e>
          <m:sub>
            <m:r>
              <m:rPr/>
              <w:rPr>
                <w:rFonts w:ascii="Cambria Math" w:hAnsi="Cambria Math" w:cs="Times New Roman"/>
                <w:sz w:val="28"/>
                <w:szCs w:val="28"/>
                <w:lang w:val="en-US"/>
              </w:rPr>
              <m:t>i</m:t>
            </m:r>
            <m:r>
              <m:rPr/>
              <w:rPr>
                <w:rFonts w:ascii="Cambria Math" w:hAnsi="Cambria Math" w:cs="Times New Roman"/>
                <w:sz w:val="28"/>
                <w:szCs w:val="28"/>
              </w:rPr>
              <m:t xml:space="preserve"> кт</m:t>
            </m:r>
            <m:ctrlPr>
              <w:rPr>
                <w:rFonts w:ascii="Cambria Math" w:hAnsi="Cambria Math" w:cs="Times New Roman"/>
                <w:i/>
                <w:sz w:val="28"/>
                <w:szCs w:val="28"/>
                <w:lang w:val="en-US"/>
              </w:rPr>
            </m:ctrlPr>
          </m:sub>
        </m:sSub>
      </m:oMath>
      <w:r>
        <w:rPr>
          <w:rFonts w:ascii="Times New Roman" w:hAnsi="Times New Roman" w:cs="Times New Roman"/>
          <w:position w:val="-14"/>
          <w:sz w:val="28"/>
          <w:szCs w:val="28"/>
        </w:rPr>
        <w:t xml:space="preserve"> </w:t>
      </w:r>
      <w:r>
        <w:rPr>
          <w:rFonts w:ascii="Times New Roman" w:hAnsi="Times New Roman" w:cs="Times New Roman"/>
          <w:sz w:val="28"/>
          <w:szCs w:val="28"/>
        </w:rPr>
        <w:t>– количество месяцев предоставления услуги в календарном году;</w:t>
      </w:r>
    </w:p>
    <w:p w14:paraId="7F5DE4CF">
      <w:pPr>
        <w:pStyle w:val="8"/>
        <w:spacing w:line="360" w:lineRule="auto"/>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m:rPr/>
              <w:rPr>
                <w:rFonts w:ascii="Cambria Math" w:hAnsi="Cambria Math" w:cs="Times New Roman"/>
                <w:sz w:val="28"/>
                <w:szCs w:val="28"/>
                <w:lang w:val="en-US"/>
              </w:rPr>
              <m:t>P</m:t>
            </m:r>
            <m:ctrlPr>
              <w:rPr>
                <w:rFonts w:ascii="Cambria Math" w:hAnsi="Cambria Math" w:cs="Times New Roman"/>
                <w:i/>
                <w:sz w:val="28"/>
                <w:szCs w:val="28"/>
                <w:lang w:val="en-US"/>
              </w:rPr>
            </m:ctrlPr>
          </m:e>
          <m:sub>
            <m:r>
              <m:rPr/>
              <w:rPr>
                <w:rFonts w:ascii="Cambria Math" w:hAnsi="Cambria Math" w:cs="Times New Roman"/>
                <w:sz w:val="28"/>
                <w:szCs w:val="28"/>
                <w:lang w:val="en-US"/>
              </w:rPr>
              <m:t>i</m:t>
            </m:r>
            <m:r>
              <m:rPr/>
              <w:rPr>
                <w:rFonts w:ascii="Cambria Math" w:hAnsi="Cambria Math" w:cs="Times New Roman"/>
                <w:sz w:val="28"/>
                <w:szCs w:val="28"/>
              </w:rPr>
              <m:t xml:space="preserve"> кт</m:t>
            </m:r>
            <m:ctrlPr>
              <w:rPr>
                <w:rFonts w:ascii="Cambria Math" w:hAnsi="Cambria Math" w:cs="Times New Roman"/>
                <w:i/>
                <w:sz w:val="28"/>
                <w:szCs w:val="28"/>
                <w:lang w:val="en-US"/>
              </w:rPr>
            </m:ctrlPr>
          </m:sub>
        </m:sSub>
      </m:oMath>
      <w:r>
        <w:rPr>
          <w:rFonts w:ascii="Times New Roman" w:hAnsi="Times New Roman" w:cs="Times New Roman"/>
          <w:sz w:val="28"/>
          <w:szCs w:val="28"/>
        </w:rPr>
        <w:t xml:space="preserve"> – ежемесячная цена услуги.</w:t>
      </w:r>
    </w:p>
    <w:p w14:paraId="709F1944">
      <w:pPr>
        <w:pStyle w:val="8"/>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производится в соответствии с нормативами согласно таблице №7.   </w:t>
      </w:r>
    </w:p>
    <w:p w14:paraId="2AEB7278">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№7</w:t>
      </w:r>
    </w:p>
    <w:p w14:paraId="1BC4A4B5">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 программному и сетевому обслуживанию компьютерной техники</w:t>
      </w:r>
    </w:p>
    <w:p w14:paraId="61EF759D">
      <w:pPr>
        <w:widowControl w:val="0"/>
        <w:autoSpaceDE w:val="0"/>
        <w:autoSpaceDN w:val="0"/>
        <w:spacing w:after="0" w:line="240" w:lineRule="auto"/>
        <w:jc w:val="center"/>
        <w:rPr>
          <w:rFonts w:ascii="Times New Roman" w:hAnsi="Times New Roman" w:cs="Times New Roman"/>
          <w:sz w:val="16"/>
          <w:szCs w:val="16"/>
        </w:rPr>
      </w:pPr>
    </w:p>
    <w:tbl>
      <w:tblPr>
        <w:tblStyle w:val="3"/>
        <w:tblW w:w="98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97"/>
        <w:gridCol w:w="2278"/>
        <w:gridCol w:w="2683"/>
        <w:gridCol w:w="2552"/>
      </w:tblGrid>
      <w:tr w14:paraId="1B5D7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7" w:type="dxa"/>
            <w:shd w:val="clear" w:color="auto" w:fill="auto"/>
          </w:tcPr>
          <w:p w14:paraId="3A7FFB4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Вид договора</w:t>
            </w:r>
          </w:p>
        </w:tc>
        <w:tc>
          <w:tcPr>
            <w:tcW w:w="2278" w:type="dxa"/>
          </w:tcPr>
          <w:p w14:paraId="5AD794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Стоимость месяца оказания услуги</w:t>
            </w:r>
          </w:p>
        </w:tc>
        <w:tc>
          <w:tcPr>
            <w:tcW w:w="2683" w:type="dxa"/>
          </w:tcPr>
          <w:p w14:paraId="19D21E8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Ставка страховых взносов в государственные внебюджетные фонды, %</w:t>
            </w:r>
          </w:p>
        </w:tc>
        <w:tc>
          <w:tcPr>
            <w:tcW w:w="2552" w:type="dxa"/>
          </w:tcPr>
          <w:p w14:paraId="012B0C5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месяцев предоставления услуги</w:t>
            </w:r>
          </w:p>
        </w:tc>
      </w:tr>
      <w:tr w14:paraId="354B2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7" w:type="dxa"/>
            <w:shd w:val="clear" w:color="auto" w:fill="auto"/>
          </w:tcPr>
          <w:p w14:paraId="6CD1D9B6">
            <w:pPr>
              <w:spacing w:after="0" w:line="240" w:lineRule="auto"/>
              <w:rPr>
                <w:rFonts w:ascii="Times New Roman" w:hAnsi="Times New Roman" w:cs="Times New Roman"/>
                <w:sz w:val="24"/>
                <w:szCs w:val="24"/>
              </w:rPr>
            </w:pPr>
            <w:r>
              <w:rPr>
                <w:rFonts w:ascii="Times New Roman" w:hAnsi="Times New Roman" w:cs="Times New Roman"/>
                <w:sz w:val="24"/>
                <w:szCs w:val="24"/>
              </w:rPr>
              <w:t>Договор возмездного оказания услуг</w:t>
            </w:r>
          </w:p>
        </w:tc>
        <w:tc>
          <w:tcPr>
            <w:tcW w:w="2278" w:type="dxa"/>
          </w:tcPr>
          <w:p w14:paraId="499A08A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w:t>
            </w:r>
            <w:r>
              <w:rPr>
                <w:rFonts w:hint="default" w:ascii="Times New Roman" w:hAnsi="Times New Roman" w:cs="Times New Roman"/>
                <w:sz w:val="24"/>
                <w:szCs w:val="24"/>
                <w:lang w:val="ru-RU"/>
              </w:rPr>
              <w:t xml:space="preserve">30 </w:t>
            </w:r>
            <w:r>
              <w:rPr>
                <w:rFonts w:ascii="Times New Roman" w:hAnsi="Times New Roman" w:cs="Times New Roman"/>
                <w:sz w:val="24"/>
                <w:szCs w:val="24"/>
              </w:rPr>
              <w:t>000,00</w:t>
            </w:r>
          </w:p>
        </w:tc>
        <w:tc>
          <w:tcPr>
            <w:tcW w:w="2683" w:type="dxa"/>
          </w:tcPr>
          <w:p w14:paraId="4537091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27,1</w:t>
            </w:r>
          </w:p>
        </w:tc>
        <w:tc>
          <w:tcPr>
            <w:tcW w:w="2552" w:type="dxa"/>
          </w:tcPr>
          <w:p w14:paraId="489645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w:t>
            </w:r>
          </w:p>
        </w:tc>
      </w:tr>
    </w:tbl>
    <w:p w14:paraId="29F9394E">
      <w:pPr>
        <w:pStyle w:val="8"/>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3. Затраты на приобретение прочих работ и услуг, не относящихся к затратам на услуги связи, аренду и содержание имущества, включающих:</w:t>
      </w:r>
    </w:p>
    <w:p w14:paraId="59183489">
      <w:pPr>
        <w:pStyle w:val="8"/>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 Затраты на оплату услуг по сопровождению программного обеспечения и приобретению простых (неисключительных) лицензий на использование программного обеспечения </w:t>
      </w:r>
      <w:r>
        <w:rPr>
          <w:rFonts w:ascii="Times New Roman" w:hAnsi="Times New Roman" w:cs="Times New Roman"/>
          <w:position w:val="-12"/>
          <w:sz w:val="28"/>
          <w:szCs w:val="28"/>
        </w:rPr>
        <w:drawing>
          <wp:inline distT="0" distB="0" distL="0" distR="0">
            <wp:extent cx="409575" cy="257175"/>
            <wp:effectExtent l="0" t="0" r="0" b="0"/>
            <wp:docPr id="61" name="Рисунок 78" descr="base_23792_85543_518"/>
            <wp:cNvGraphicFramePr/>
            <a:graphic xmlns:a="http://schemas.openxmlformats.org/drawingml/2006/main">
              <a:graphicData uri="http://schemas.openxmlformats.org/drawingml/2006/picture">
                <pic:pic xmlns:pic="http://schemas.openxmlformats.org/drawingml/2006/picture">
                  <pic:nvPicPr>
                    <pic:cNvPr id="61" name="Рисунок 78" descr="base_23792_85543_518"/>
                    <pic:cNvPicPr preferRelativeResize="0">
                      <a:picLocks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10A44563">
      <w:pPr>
        <w:pStyle w:val="8"/>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drawing>
          <wp:inline distT="0" distB="0" distL="0" distR="0">
            <wp:extent cx="1524000" cy="257175"/>
            <wp:effectExtent l="0" t="0" r="0" b="0"/>
            <wp:docPr id="60" name="Рисунок 79" descr="base_23792_85543_519"/>
            <wp:cNvGraphicFramePr/>
            <a:graphic xmlns:a="http://schemas.openxmlformats.org/drawingml/2006/main">
              <a:graphicData uri="http://schemas.openxmlformats.org/drawingml/2006/picture">
                <pic:pic xmlns:pic="http://schemas.openxmlformats.org/drawingml/2006/picture">
                  <pic:nvPicPr>
                    <pic:cNvPr id="60" name="Рисунок 79" descr="base_23792_85543_519"/>
                    <pic:cNvPicPr preferRelativeResize="0">
                      <a:picLocks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a:off x="0" y="0"/>
                      <a:ext cx="1524000" cy="257175"/>
                    </a:xfrm>
                    <a:prstGeom prst="rect">
                      <a:avLst/>
                    </a:prstGeom>
                    <a:noFill/>
                    <a:ln>
                      <a:noFill/>
                    </a:ln>
                  </pic:spPr>
                </pic:pic>
              </a:graphicData>
            </a:graphic>
          </wp:inline>
        </w:drawing>
      </w:r>
    </w:p>
    <w:p w14:paraId="0906A3BC">
      <w:pPr>
        <w:pStyle w:val="8"/>
        <w:spacing w:line="360" w:lineRule="auto"/>
        <w:ind w:firstLine="709"/>
        <w:jc w:val="both"/>
        <w:rPr>
          <w:rFonts w:ascii="Times New Roman" w:hAnsi="Times New Roman" w:cs="Times New Roman"/>
          <w:sz w:val="28"/>
          <w:szCs w:val="28"/>
        </w:rPr>
      </w:pPr>
      <w:r>
        <w:rPr>
          <w:rFonts w:ascii="Times New Roman" w:hAnsi="Times New Roman" w:cs="Times New Roman"/>
          <w:position w:val="-12"/>
          <w:sz w:val="28"/>
          <w:szCs w:val="28"/>
        </w:rPr>
        <w:drawing>
          <wp:inline distT="0" distB="0" distL="0" distR="0">
            <wp:extent cx="314325" cy="257175"/>
            <wp:effectExtent l="0" t="0" r="0" b="0"/>
            <wp:docPr id="80" name="Рисунок 80" descr="base_23792_85543_520"/>
            <wp:cNvGraphicFramePr/>
            <a:graphic xmlns:a="http://schemas.openxmlformats.org/drawingml/2006/main">
              <a:graphicData uri="http://schemas.openxmlformats.org/drawingml/2006/picture">
                <pic:pic xmlns:pic="http://schemas.openxmlformats.org/drawingml/2006/picture">
                  <pic:nvPicPr>
                    <pic:cNvPr id="80" name="Рисунок 80" descr="base_23792_85543_520"/>
                    <pic:cNvPicPr preferRelativeResize="0">
                      <a:picLocks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затраты на оплату услуг по сопровождению справочно-правовых систем;</w:t>
      </w:r>
    </w:p>
    <w:p w14:paraId="5EC422AF">
      <w:pPr>
        <w:pStyle w:val="8"/>
        <w:spacing w:line="360" w:lineRule="auto"/>
        <w:ind w:firstLine="709"/>
        <w:jc w:val="both"/>
        <w:rPr>
          <w:rFonts w:ascii="Times New Roman" w:hAnsi="Times New Roman" w:cs="Times New Roman"/>
          <w:sz w:val="28"/>
          <w:szCs w:val="28"/>
        </w:rPr>
      </w:pPr>
      <w:r>
        <w:rPr>
          <w:rFonts w:ascii="Times New Roman" w:hAnsi="Times New Roman" w:cs="Times New Roman"/>
          <w:position w:val="-12"/>
          <w:sz w:val="28"/>
          <w:szCs w:val="28"/>
        </w:rPr>
        <w:drawing>
          <wp:inline distT="0" distB="0" distL="0" distR="0">
            <wp:extent cx="295275" cy="257175"/>
            <wp:effectExtent l="0" t="0" r="0" b="0"/>
            <wp:docPr id="81" name="Рисунок 81" descr="base_23792_85543_521"/>
            <wp:cNvGraphicFramePr/>
            <a:graphic xmlns:a="http://schemas.openxmlformats.org/drawingml/2006/main">
              <a:graphicData uri="http://schemas.openxmlformats.org/drawingml/2006/picture">
                <pic:pic xmlns:pic="http://schemas.openxmlformats.org/drawingml/2006/picture">
                  <pic:nvPicPr>
                    <pic:cNvPr id="81" name="Рисунок 81" descr="base_23792_85543_521"/>
                    <pic:cNvPicPr preferRelativeResize="0">
                      <a:picLocks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 затраты на оплату услуг по сопровождению и приобретению иного программного обеспечения.</w:t>
      </w:r>
    </w:p>
    <w:p w14:paraId="2573870A">
      <w:pPr>
        <w:pStyle w:val="8"/>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затраты на оплату услуг по сопровождению программного обеспечения и приобретению простых (неисключительных) лицензий на использование программного обеспечения не входят затраты на приобретение общесистемного программного обеспечения.</w:t>
      </w:r>
    </w:p>
    <w:p w14:paraId="5C1060F3">
      <w:pPr>
        <w:pStyle w:val="8"/>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3.1.1. Затраты на оплату услуг по сопровождению справочно-правовых систем </w:t>
      </w:r>
      <w:r>
        <w:rPr>
          <w:rFonts w:ascii="Times New Roman" w:hAnsi="Times New Roman" w:cs="Times New Roman"/>
          <w:position w:val="-12"/>
          <w:sz w:val="28"/>
          <w:szCs w:val="28"/>
        </w:rPr>
        <w:drawing>
          <wp:inline distT="0" distB="0" distL="0" distR="0">
            <wp:extent cx="457200" cy="257175"/>
            <wp:effectExtent l="0" t="0" r="0" b="0"/>
            <wp:docPr id="59" name="Рисунок 82" descr="base_23792_85543_522"/>
            <wp:cNvGraphicFramePr/>
            <a:graphic xmlns:a="http://schemas.openxmlformats.org/drawingml/2006/main">
              <a:graphicData uri="http://schemas.openxmlformats.org/drawingml/2006/picture">
                <pic:pic xmlns:pic="http://schemas.openxmlformats.org/drawingml/2006/picture">
                  <pic:nvPicPr>
                    <pic:cNvPr id="59" name="Рисунок 82" descr="base_23792_85543_522"/>
                    <pic:cNvPicPr preferRelativeResize="0">
                      <a:picLocks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a:xfrm>
                      <a:off x="0" y="0"/>
                      <a:ext cx="4572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7B642DB4">
      <w:pPr>
        <w:pStyle w:val="8"/>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drawing>
          <wp:inline distT="0" distB="0" distL="0" distR="0">
            <wp:extent cx="1419225" cy="476250"/>
            <wp:effectExtent l="0" t="0" r="0" b="0"/>
            <wp:docPr id="83" name="Рисунок 83" descr="base_23792_85543_523"/>
            <wp:cNvGraphicFramePr/>
            <a:graphic xmlns:a="http://schemas.openxmlformats.org/drawingml/2006/main">
              <a:graphicData uri="http://schemas.openxmlformats.org/drawingml/2006/picture">
                <pic:pic xmlns:pic="http://schemas.openxmlformats.org/drawingml/2006/picture">
                  <pic:nvPicPr>
                    <pic:cNvPr id="83" name="Рисунок 83" descr="base_23792_85543_523"/>
                    <pic:cNvPicPr preferRelativeResize="0">
                      <a:picLocks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a:xfrm>
                      <a:off x="0" y="0"/>
                      <a:ext cx="1419225" cy="476250"/>
                    </a:xfrm>
                    <a:prstGeom prst="rect">
                      <a:avLst/>
                    </a:prstGeom>
                    <a:noFill/>
                    <a:ln>
                      <a:noFill/>
                    </a:ln>
                  </pic:spPr>
                </pic:pic>
              </a:graphicData>
            </a:graphic>
          </wp:inline>
        </w:drawing>
      </w:r>
    </w:p>
    <w:p w14:paraId="4D3A5404">
      <w:pPr>
        <w:pStyle w:val="8"/>
        <w:spacing w:line="360" w:lineRule="auto"/>
        <w:ind w:firstLine="709"/>
        <w:jc w:val="both"/>
        <w:rPr>
          <w:rFonts w:ascii="Times New Roman" w:hAnsi="Times New Roman" w:cs="Times New Roman"/>
          <w:sz w:val="28"/>
          <w:szCs w:val="28"/>
        </w:rPr>
      </w:pPr>
      <w:r>
        <w:rPr>
          <w:rFonts w:ascii="Times New Roman" w:hAnsi="Times New Roman" w:cs="Times New Roman"/>
          <w:position w:val="-14"/>
          <w:sz w:val="28"/>
          <w:szCs w:val="28"/>
        </w:rPr>
        <w:drawing>
          <wp:inline distT="0" distB="0" distL="0" distR="0">
            <wp:extent cx="371475" cy="257175"/>
            <wp:effectExtent l="0" t="0" r="0" b="0"/>
            <wp:docPr id="84" name="Рисунок 84" descr="base_23792_85543_524"/>
            <wp:cNvGraphicFramePr/>
            <a:graphic xmlns:a="http://schemas.openxmlformats.org/drawingml/2006/main">
              <a:graphicData uri="http://schemas.openxmlformats.org/drawingml/2006/picture">
                <pic:pic xmlns:pic="http://schemas.openxmlformats.org/drawingml/2006/picture">
                  <pic:nvPicPr>
                    <pic:cNvPr id="84" name="Рисунок 84" descr="base_23792_85543_524"/>
                    <pic:cNvPicPr preferRelativeResize="0">
                      <a:picLocks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–цена сопровождения i-й справочно-правовой системы, определяемая согласно перечню работ по сопровождению справочно-правовых систем и нормативным трудозатратам на их выполнение, установленным в эксплуатационной документации или утвержденном регламенте выполнения работ по сопровождению справочно-правовых систем.</w:t>
      </w:r>
    </w:p>
    <w:p w14:paraId="51B60095">
      <w:pPr>
        <w:pStyle w:val="8"/>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№8.</w:t>
      </w:r>
    </w:p>
    <w:p w14:paraId="4E4139E2">
      <w:pPr>
        <w:spacing w:before="120" w:after="12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№8</w:t>
      </w:r>
    </w:p>
    <w:p w14:paraId="592AB1AF">
      <w:pPr>
        <w:widowControl w:val="0"/>
        <w:autoSpaceDE w:val="0"/>
        <w:autoSpaceDN w:val="0"/>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 сопровождению справочно-правовых систем</w:t>
      </w:r>
    </w:p>
    <w:tbl>
      <w:tblPr>
        <w:tblStyle w:val="3"/>
        <w:tblW w:w="978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2"/>
        <w:gridCol w:w="5249"/>
      </w:tblGrid>
      <w:tr w14:paraId="39455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2" w:type="dxa"/>
            <w:shd w:val="clear" w:color="auto" w:fill="auto"/>
          </w:tcPr>
          <w:p w14:paraId="55EF61D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Справочно-правовая система</w:t>
            </w:r>
          </w:p>
        </w:tc>
        <w:tc>
          <w:tcPr>
            <w:tcW w:w="5249" w:type="dxa"/>
          </w:tcPr>
          <w:p w14:paraId="5B8931B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сопровождения в год (рублей)</w:t>
            </w:r>
          </w:p>
        </w:tc>
      </w:tr>
      <w:tr w14:paraId="08690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2" w:type="dxa"/>
            <w:shd w:val="clear" w:color="auto" w:fill="auto"/>
          </w:tcPr>
          <w:p w14:paraId="3534E186">
            <w:pPr>
              <w:spacing w:after="0" w:line="240" w:lineRule="auto"/>
              <w:rPr>
                <w:rFonts w:ascii="Times New Roman" w:hAnsi="Times New Roman" w:cs="Times New Roman"/>
                <w:sz w:val="28"/>
                <w:szCs w:val="28"/>
              </w:rPr>
            </w:pPr>
            <w:r>
              <w:rPr>
                <w:rFonts w:ascii="Times New Roman" w:hAnsi="Times New Roman" w:cs="Times New Roman"/>
                <w:sz w:val="28"/>
                <w:szCs w:val="28"/>
              </w:rPr>
              <w:t>КонсультантПлюс</w:t>
            </w:r>
          </w:p>
        </w:tc>
        <w:tc>
          <w:tcPr>
            <w:tcW w:w="5249" w:type="dxa"/>
          </w:tcPr>
          <w:p w14:paraId="48BCA73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300 000,00</w:t>
            </w:r>
          </w:p>
        </w:tc>
      </w:tr>
    </w:tbl>
    <w:p w14:paraId="4025D588">
      <w:pPr>
        <w:pStyle w:val="8"/>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3.1.2. Затраты на приобретению простых (неисключительных) лицензий на использование программного обеспечения по защите информации </w:t>
      </w:r>
      <w:r>
        <w:rPr>
          <w:rFonts w:ascii="Times New Roman" w:hAnsi="Times New Roman" w:cs="Times New Roman"/>
          <w:position w:val="-12"/>
          <w:sz w:val="28"/>
          <w:szCs w:val="28"/>
        </w:rPr>
        <w:drawing>
          <wp:inline distT="0" distB="0" distL="0" distR="0">
            <wp:extent cx="419100" cy="257175"/>
            <wp:effectExtent l="0" t="0" r="0" b="0"/>
            <wp:docPr id="85" name="Рисунок 85" descr="base_23792_85543_525"/>
            <wp:cNvGraphicFramePr/>
            <a:graphic xmlns:a="http://schemas.openxmlformats.org/drawingml/2006/main">
              <a:graphicData uri="http://schemas.openxmlformats.org/drawingml/2006/picture">
                <pic:pic xmlns:pic="http://schemas.openxmlformats.org/drawingml/2006/picture">
                  <pic:nvPicPr>
                    <pic:cNvPr id="85" name="Рисунок 85" descr="base_23792_85543_525"/>
                    <pic:cNvPicPr preferRelativeResize="0">
                      <a:picLocks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067DA1A5">
      <w:pPr>
        <w:pStyle w:val="8"/>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drawing>
          <wp:inline distT="0" distB="0" distL="0" distR="0">
            <wp:extent cx="2047875" cy="504825"/>
            <wp:effectExtent l="0" t="0" r="0" b="0"/>
            <wp:docPr id="86" name="Рисунок 86" descr="base_23792_85543_526"/>
            <wp:cNvGraphicFramePr/>
            <a:graphic xmlns:a="http://schemas.openxmlformats.org/drawingml/2006/main">
              <a:graphicData uri="http://schemas.openxmlformats.org/drawingml/2006/picture">
                <pic:pic xmlns:pic="http://schemas.openxmlformats.org/drawingml/2006/picture">
                  <pic:nvPicPr>
                    <pic:cNvPr id="86" name="Рисунок 86" descr="base_23792_85543_526"/>
                    <pic:cNvPicPr preferRelativeResize="0">
                      <a:picLocks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a:xfrm>
                      <a:off x="0" y="0"/>
                      <a:ext cx="2047875" cy="504825"/>
                    </a:xfrm>
                    <a:prstGeom prst="rect">
                      <a:avLst/>
                    </a:prstGeom>
                    <a:noFill/>
                    <a:ln>
                      <a:noFill/>
                    </a:ln>
                  </pic:spPr>
                </pic:pic>
              </a:graphicData>
            </a:graphic>
          </wp:inline>
        </w:drawing>
      </w:r>
    </w:p>
    <w:p w14:paraId="1CAEE540">
      <w:pPr>
        <w:pStyle w:val="8"/>
        <w:spacing w:line="360" w:lineRule="auto"/>
        <w:ind w:firstLine="709"/>
        <w:jc w:val="both"/>
        <w:rPr>
          <w:rFonts w:ascii="Times New Roman" w:hAnsi="Times New Roman" w:cs="Times New Roman"/>
          <w:sz w:val="28"/>
          <w:szCs w:val="28"/>
        </w:rPr>
      </w:pPr>
      <w:r>
        <w:rPr>
          <w:rFonts w:ascii="Times New Roman" w:hAnsi="Times New Roman" w:cs="Times New Roman"/>
          <w:position w:val="-14"/>
          <w:sz w:val="28"/>
          <w:szCs w:val="28"/>
        </w:rPr>
        <w:drawing>
          <wp:inline distT="0" distB="0" distL="0" distR="0">
            <wp:extent cx="371475" cy="257175"/>
            <wp:effectExtent l="0" t="0" r="0" b="0"/>
            <wp:docPr id="58" name="Рисунок 87" descr="base_23792_85543_527"/>
            <wp:cNvGraphicFramePr/>
            <a:graphic xmlns:a="http://schemas.openxmlformats.org/drawingml/2006/main">
              <a:graphicData uri="http://schemas.openxmlformats.org/drawingml/2006/picture">
                <pic:pic xmlns:pic="http://schemas.openxmlformats.org/drawingml/2006/picture">
                  <pic:nvPicPr>
                    <pic:cNvPr id="58" name="Рисунок 87" descr="base_23792_85543_527"/>
                    <pic:cNvPicPr preferRelativeResize="0">
                      <a:picLocks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–цена сопровождения g-го иного программного обеспечения, за исключением справочно-правовых систем, определяемая согласно перечню работ по сопровождению g-го иного программного обеспечения и нормативным трудозатратам на их выполнение, установленным в эксплуатационной документации или утвержденном регламенте выполнения работ по сопровождению g-го иного программного обеспечения;</w:t>
      </w:r>
    </w:p>
    <w:p w14:paraId="7C9D8577">
      <w:pPr>
        <w:pStyle w:val="8"/>
        <w:spacing w:line="360" w:lineRule="auto"/>
        <w:ind w:firstLine="709"/>
        <w:jc w:val="both"/>
        <w:rPr>
          <w:rFonts w:ascii="Times New Roman" w:hAnsi="Times New Roman" w:cs="Times New Roman"/>
          <w:sz w:val="28"/>
          <w:szCs w:val="28"/>
        </w:rPr>
      </w:pPr>
      <w:r>
        <w:rPr>
          <w:rFonts w:ascii="Times New Roman" w:hAnsi="Times New Roman" w:cs="Times New Roman"/>
          <w:position w:val="-14"/>
          <w:sz w:val="28"/>
          <w:szCs w:val="28"/>
        </w:rPr>
        <w:drawing>
          <wp:inline distT="0" distB="0" distL="0" distR="0">
            <wp:extent cx="352425" cy="257175"/>
            <wp:effectExtent l="0" t="0" r="0" b="0"/>
            <wp:docPr id="57" name="Рисунок 88" descr="base_23792_85543_528"/>
            <wp:cNvGraphicFramePr/>
            <a:graphic xmlns:a="http://schemas.openxmlformats.org/drawingml/2006/main">
              <a:graphicData uri="http://schemas.openxmlformats.org/drawingml/2006/picture">
                <pic:pic xmlns:pic="http://schemas.openxmlformats.org/drawingml/2006/picture">
                  <pic:nvPicPr>
                    <pic:cNvPr id="57" name="Рисунок 88" descr="base_23792_85543_528"/>
                    <pic:cNvPicPr preferRelativeResize="0">
                      <a:picLocks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–цена простых (неисключительных) лицензий на использование программного обеспечения на j-е программное обеспечение, за исключением справочно-правовых систем.</w:t>
      </w:r>
    </w:p>
    <w:p w14:paraId="42160F6E">
      <w:pPr>
        <w:pStyle w:val="8"/>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№9.</w:t>
      </w:r>
    </w:p>
    <w:p w14:paraId="635AC9B3">
      <w:pPr>
        <w:spacing w:before="120" w:after="12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№9.</w:t>
      </w:r>
    </w:p>
    <w:p w14:paraId="2CF8B098">
      <w:pPr>
        <w:widowControl w:val="0"/>
        <w:autoSpaceDE w:val="0"/>
        <w:autoSpaceDN w:val="0"/>
        <w:spacing w:before="120" w:after="120" w:line="36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 сопровождению и приобретению иного программного обеспечения министерства и подведомственного ему учреждения</w:t>
      </w:r>
    </w:p>
    <w:tbl>
      <w:tblPr>
        <w:tblStyle w:val="3"/>
        <w:tblW w:w="978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06"/>
        <w:gridCol w:w="3118"/>
        <w:gridCol w:w="3657"/>
      </w:tblGrid>
      <w:tr w14:paraId="70FF8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6" w:type="dxa"/>
            <w:shd w:val="clear" w:color="auto" w:fill="auto"/>
          </w:tcPr>
          <w:p w14:paraId="5B9B85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Программное обеспечение</w:t>
            </w:r>
          </w:p>
        </w:tc>
        <w:tc>
          <w:tcPr>
            <w:tcW w:w="3118" w:type="dxa"/>
          </w:tcPr>
          <w:p w14:paraId="785E120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приобретаемых простых (неисключительных) лицензий на использование программного обеспечения по защите информации</w:t>
            </w:r>
          </w:p>
        </w:tc>
        <w:tc>
          <w:tcPr>
            <w:tcW w:w="3657" w:type="dxa"/>
          </w:tcPr>
          <w:p w14:paraId="4BE6D17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Норматив цены простой (неисключительной) лицензий или продление простой (неисключительной) лицензии на использование программного обеспечения для 1 рабочего места или техники и его сопровождение, за исключением  систем (рублей)</w:t>
            </w:r>
          </w:p>
        </w:tc>
      </w:tr>
      <w:tr w14:paraId="09B65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6" w:type="dxa"/>
            <w:shd w:val="clear" w:color="auto" w:fill="auto"/>
          </w:tcPr>
          <w:p w14:paraId="165415F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3118" w:type="dxa"/>
          </w:tcPr>
          <w:p w14:paraId="32DC6E5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3657" w:type="dxa"/>
          </w:tcPr>
          <w:p w14:paraId="4D81DAD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r>
      <w:tr w14:paraId="1754F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6" w:type="dxa"/>
            <w:shd w:val="clear" w:color="auto" w:fill="auto"/>
          </w:tcPr>
          <w:p w14:paraId="33994D4E">
            <w:pPr>
              <w:spacing w:after="0" w:line="240" w:lineRule="auto"/>
              <w:rPr>
                <w:rFonts w:ascii="Times New Roman" w:hAnsi="Times New Roman" w:cs="Times New Roman"/>
                <w:sz w:val="24"/>
                <w:szCs w:val="24"/>
              </w:rPr>
            </w:pPr>
            <w:r>
              <w:rPr>
                <w:rFonts w:ascii="Times New Roman" w:hAnsi="Times New Roman" w:cs="Times New Roman"/>
                <w:sz w:val="24"/>
                <w:szCs w:val="24"/>
              </w:rPr>
              <w:t>Антивирусное программное обеспечение</w:t>
            </w:r>
          </w:p>
        </w:tc>
        <w:tc>
          <w:tcPr>
            <w:tcW w:w="3118" w:type="dxa"/>
          </w:tcPr>
          <w:p w14:paraId="1B377E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3B03AEC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50 000,00 в год</w:t>
            </w:r>
          </w:p>
        </w:tc>
      </w:tr>
      <w:tr w14:paraId="18575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6" w:type="dxa"/>
            <w:shd w:val="clear" w:color="auto" w:fill="auto"/>
          </w:tcPr>
          <w:p w14:paraId="30F22750">
            <w:pPr>
              <w:spacing w:after="0" w:line="240" w:lineRule="auto"/>
              <w:rPr>
                <w:rFonts w:ascii="Times New Roman" w:hAnsi="Times New Roman" w:cs="Times New Roman"/>
                <w:sz w:val="24"/>
                <w:szCs w:val="24"/>
              </w:rPr>
            </w:pPr>
            <w:r>
              <w:rPr>
                <w:rFonts w:ascii="Times New Roman" w:hAnsi="Times New Roman" w:cs="Times New Roman"/>
                <w:sz w:val="24"/>
                <w:szCs w:val="24"/>
              </w:rPr>
              <w:t>Информационно-техническое сопровождение 1С, приобретение</w:t>
            </w:r>
          </w:p>
        </w:tc>
        <w:tc>
          <w:tcPr>
            <w:tcW w:w="3118" w:type="dxa"/>
          </w:tcPr>
          <w:p w14:paraId="54DB074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министерство и не более 1 единицы подведомственное ему ОКУ</w:t>
            </w:r>
          </w:p>
        </w:tc>
        <w:tc>
          <w:tcPr>
            <w:tcW w:w="3657" w:type="dxa"/>
          </w:tcPr>
          <w:p w14:paraId="71B3C34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80 000,00</w:t>
            </w:r>
          </w:p>
        </w:tc>
      </w:tr>
      <w:tr w14:paraId="18E74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6" w:type="dxa"/>
            <w:shd w:val="clear" w:color="auto" w:fill="auto"/>
          </w:tcPr>
          <w:p w14:paraId="6ACC4BC9">
            <w:pPr>
              <w:spacing w:after="0" w:line="240" w:lineRule="auto"/>
              <w:rPr>
                <w:rFonts w:ascii="Times New Roman" w:hAnsi="Times New Roman" w:cs="Times New Roman"/>
                <w:sz w:val="24"/>
                <w:szCs w:val="24"/>
              </w:rPr>
            </w:pPr>
            <w:r>
              <w:rPr>
                <w:rFonts w:ascii="Times New Roman" w:hAnsi="Times New Roman" w:cs="Times New Roman"/>
                <w:sz w:val="24"/>
                <w:szCs w:val="24"/>
              </w:rPr>
              <w:t>1С-Битрикс: Официальный сайт государственной организации</w:t>
            </w:r>
          </w:p>
        </w:tc>
        <w:tc>
          <w:tcPr>
            <w:tcW w:w="3118" w:type="dxa"/>
          </w:tcPr>
          <w:p w14:paraId="3A843FB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и на подведомственное ОКУ</w:t>
            </w:r>
          </w:p>
        </w:tc>
        <w:tc>
          <w:tcPr>
            <w:tcW w:w="3657" w:type="dxa"/>
          </w:tcPr>
          <w:p w14:paraId="7E8D97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100 000,00</w:t>
            </w:r>
          </w:p>
        </w:tc>
      </w:tr>
      <w:tr w14:paraId="68BBF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6" w:type="dxa"/>
            <w:shd w:val="clear" w:color="auto" w:fill="auto"/>
          </w:tcPr>
          <w:p w14:paraId="797947E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Сопровождение ПП «Программа электронной отчетности СБИС++», </w:t>
            </w:r>
            <w:r>
              <w:rPr>
                <w:rFonts w:ascii="Times New Roman" w:hAnsi="Times New Roman" w:cs="Times New Roman"/>
                <w:sz w:val="24"/>
                <w:szCs w:val="24"/>
                <w:lang w:val="en-US"/>
              </w:rPr>
              <w:t>WEB</w:t>
            </w:r>
            <w:r>
              <w:rPr>
                <w:rFonts w:ascii="Times New Roman" w:hAnsi="Times New Roman" w:cs="Times New Roman"/>
                <w:sz w:val="24"/>
                <w:szCs w:val="24"/>
              </w:rPr>
              <w:t xml:space="preserve"> -система СБИС» модуль ЭО-Базовый, БЮДЖЕТ</w:t>
            </w:r>
          </w:p>
        </w:tc>
        <w:tc>
          <w:tcPr>
            <w:tcW w:w="3118" w:type="dxa"/>
          </w:tcPr>
          <w:p w14:paraId="3CC8111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министерство и не более 1 единицы подведомственное ему ОКУ</w:t>
            </w:r>
          </w:p>
        </w:tc>
        <w:tc>
          <w:tcPr>
            <w:tcW w:w="3657" w:type="dxa"/>
          </w:tcPr>
          <w:p w14:paraId="624413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6 000,00</w:t>
            </w:r>
          </w:p>
        </w:tc>
      </w:tr>
      <w:tr w14:paraId="278C6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6" w:type="dxa"/>
            <w:shd w:val="clear" w:color="auto" w:fill="auto"/>
          </w:tcPr>
          <w:p w14:paraId="7B07185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Microsoft OfficeHome and Business </w:t>
            </w:r>
          </w:p>
        </w:tc>
        <w:tc>
          <w:tcPr>
            <w:tcW w:w="3118" w:type="dxa"/>
          </w:tcPr>
          <w:p w14:paraId="5A3D82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04CF80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20 000,00</w:t>
            </w:r>
          </w:p>
        </w:tc>
      </w:tr>
      <w:tr w14:paraId="077F6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trPr>
        <w:tc>
          <w:tcPr>
            <w:tcW w:w="3006" w:type="dxa"/>
            <w:shd w:val="clear" w:color="auto" w:fill="auto"/>
          </w:tcPr>
          <w:p w14:paraId="514215E6">
            <w:pPr>
              <w:spacing w:after="0" w:line="240" w:lineRule="auto"/>
              <w:rPr>
                <w:rFonts w:ascii="Times New Roman" w:hAnsi="Times New Roman" w:cs="Times New Roman"/>
                <w:sz w:val="24"/>
                <w:szCs w:val="24"/>
              </w:rPr>
            </w:pPr>
            <w:r>
              <w:rPr>
                <w:rFonts w:ascii="Times New Roman" w:hAnsi="Times New Roman" w:cs="Times New Roman"/>
                <w:sz w:val="24"/>
                <w:szCs w:val="24"/>
              </w:rPr>
              <w:t>Windows 10 Pro</w:t>
            </w:r>
          </w:p>
        </w:tc>
        <w:tc>
          <w:tcPr>
            <w:tcW w:w="3118" w:type="dxa"/>
          </w:tcPr>
          <w:p w14:paraId="6F4EECC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41DE481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не более 15 000,00 </w:t>
            </w:r>
          </w:p>
        </w:tc>
      </w:tr>
      <w:tr w14:paraId="6127D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trPr>
        <w:tc>
          <w:tcPr>
            <w:tcW w:w="3006" w:type="dxa"/>
            <w:shd w:val="clear" w:color="auto" w:fill="auto"/>
          </w:tcPr>
          <w:p w14:paraId="1674A96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Средства защиты информации </w:t>
            </w:r>
          </w:p>
        </w:tc>
        <w:tc>
          <w:tcPr>
            <w:tcW w:w="3118" w:type="dxa"/>
          </w:tcPr>
          <w:p w14:paraId="1494CE0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2BB1DA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12 000,00</w:t>
            </w:r>
          </w:p>
        </w:tc>
      </w:tr>
      <w:tr w14:paraId="11804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trPr>
        <w:tc>
          <w:tcPr>
            <w:tcW w:w="3006" w:type="dxa"/>
            <w:shd w:val="clear" w:color="auto" w:fill="auto"/>
          </w:tcPr>
          <w:p w14:paraId="3DFD403D">
            <w:pPr>
              <w:spacing w:after="0" w:line="240" w:lineRule="auto"/>
              <w:rPr>
                <w:rFonts w:ascii="Times New Roman" w:hAnsi="Times New Roman" w:cs="Times New Roman"/>
                <w:sz w:val="24"/>
                <w:szCs w:val="24"/>
              </w:rPr>
            </w:pPr>
            <w:r>
              <w:rPr>
                <w:rFonts w:ascii="Times New Roman" w:hAnsi="Times New Roman" w:cs="Times New Roman"/>
                <w:sz w:val="24"/>
                <w:szCs w:val="24"/>
              </w:rPr>
              <w:t>Иное программное лицензионное  обеспечение</w:t>
            </w:r>
          </w:p>
        </w:tc>
        <w:tc>
          <w:tcPr>
            <w:tcW w:w="3118" w:type="dxa"/>
          </w:tcPr>
          <w:p w14:paraId="3796275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16713EB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120 000,00</w:t>
            </w:r>
          </w:p>
        </w:tc>
      </w:tr>
      <w:tr w14:paraId="2681E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trPr>
        <w:tc>
          <w:tcPr>
            <w:tcW w:w="3006" w:type="dxa"/>
            <w:shd w:val="clear" w:color="auto" w:fill="auto"/>
          </w:tcPr>
          <w:p w14:paraId="75071536">
            <w:pPr>
              <w:spacing w:after="0" w:line="240" w:lineRule="auto"/>
              <w:rPr>
                <w:rFonts w:ascii="Times New Roman" w:hAnsi="Times New Roman" w:cs="Times New Roman"/>
                <w:sz w:val="24"/>
                <w:szCs w:val="24"/>
              </w:rPr>
            </w:pPr>
            <w:r>
              <w:rPr>
                <w:rFonts w:ascii="Times New Roman" w:hAnsi="Times New Roman" w:cs="Times New Roman"/>
                <w:sz w:val="24"/>
                <w:szCs w:val="24"/>
              </w:rPr>
              <w:t>Лицензия на СКЗИ</w:t>
            </w:r>
          </w:p>
        </w:tc>
        <w:tc>
          <w:tcPr>
            <w:tcW w:w="3118" w:type="dxa"/>
          </w:tcPr>
          <w:p w14:paraId="2BC5B0B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w:t>
            </w:r>
          </w:p>
        </w:tc>
        <w:tc>
          <w:tcPr>
            <w:tcW w:w="3657" w:type="dxa"/>
          </w:tcPr>
          <w:p w14:paraId="5A19B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8 750,00</w:t>
            </w:r>
          </w:p>
        </w:tc>
      </w:tr>
      <w:tr w14:paraId="5C733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trPr>
        <w:tc>
          <w:tcPr>
            <w:tcW w:w="3006" w:type="dxa"/>
            <w:shd w:val="clear" w:color="auto" w:fill="auto"/>
          </w:tcPr>
          <w:p w14:paraId="3A52BADB">
            <w:pPr>
              <w:spacing w:after="0" w:line="240" w:lineRule="auto"/>
              <w:rPr>
                <w:rFonts w:ascii="Times New Roman" w:hAnsi="Times New Roman" w:cs="Times New Roman"/>
                <w:sz w:val="24"/>
                <w:szCs w:val="24"/>
              </w:rPr>
            </w:pPr>
            <w:r>
              <w:rPr>
                <w:rFonts w:ascii="Times New Roman" w:hAnsi="Times New Roman" w:cs="Times New Roman"/>
                <w:sz w:val="24"/>
                <w:szCs w:val="24"/>
              </w:rPr>
              <w:t>Лицензия на использование операционной системы</w:t>
            </w:r>
          </w:p>
        </w:tc>
        <w:tc>
          <w:tcPr>
            <w:tcW w:w="3118" w:type="dxa"/>
          </w:tcPr>
          <w:p w14:paraId="12D732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10 единиц на учреждение</w:t>
            </w:r>
          </w:p>
        </w:tc>
        <w:tc>
          <w:tcPr>
            <w:tcW w:w="3657" w:type="dxa"/>
          </w:tcPr>
          <w:p w14:paraId="64A6576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12 600,00</w:t>
            </w:r>
          </w:p>
        </w:tc>
      </w:tr>
      <w:tr w14:paraId="1BB2E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trPr>
        <w:tc>
          <w:tcPr>
            <w:tcW w:w="3006" w:type="dxa"/>
            <w:shd w:val="clear" w:color="auto" w:fill="auto"/>
          </w:tcPr>
          <w:p w14:paraId="15684FA4">
            <w:pPr>
              <w:spacing w:after="0" w:line="240" w:lineRule="auto"/>
              <w:rPr>
                <w:rFonts w:ascii="Times New Roman" w:hAnsi="Times New Roman" w:cs="Times New Roman"/>
                <w:sz w:val="24"/>
                <w:szCs w:val="24"/>
              </w:rPr>
            </w:pPr>
            <w:r>
              <w:rPr>
                <w:rFonts w:ascii="Times New Roman" w:hAnsi="Times New Roman" w:cs="Times New Roman"/>
                <w:sz w:val="24"/>
                <w:szCs w:val="24"/>
              </w:rPr>
              <w:t>Лицензия на использование офисного программного обеспечения</w:t>
            </w:r>
          </w:p>
        </w:tc>
        <w:tc>
          <w:tcPr>
            <w:tcW w:w="3118" w:type="dxa"/>
          </w:tcPr>
          <w:p w14:paraId="5DC40F8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10 единиц на учреждение</w:t>
            </w:r>
          </w:p>
        </w:tc>
        <w:tc>
          <w:tcPr>
            <w:tcW w:w="3657" w:type="dxa"/>
          </w:tcPr>
          <w:p w14:paraId="4595B7A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16 275,00</w:t>
            </w:r>
          </w:p>
        </w:tc>
      </w:tr>
    </w:tbl>
    <w:p w14:paraId="0285D45E">
      <w:pPr>
        <w:pStyle w:val="8"/>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3.1.3 Затраты на оплату услуг, связанных с обеспечением безопасности информации </w:t>
      </w:r>
      <w:r>
        <w:rPr>
          <w:rFonts w:ascii="Times New Roman" w:hAnsi="Times New Roman" w:cs="Times New Roman"/>
          <w:position w:val="-12"/>
          <w:sz w:val="28"/>
          <w:szCs w:val="28"/>
        </w:rPr>
        <w:drawing>
          <wp:inline distT="0" distB="0" distL="0" distR="0">
            <wp:extent cx="419100" cy="257175"/>
            <wp:effectExtent l="0" t="0" r="0" b="0"/>
            <wp:docPr id="56" name="Рисунок 89" descr="base_23792_85543_529"/>
            <wp:cNvGraphicFramePr/>
            <a:graphic xmlns:a="http://schemas.openxmlformats.org/drawingml/2006/main">
              <a:graphicData uri="http://schemas.openxmlformats.org/drawingml/2006/picture">
                <pic:pic xmlns:pic="http://schemas.openxmlformats.org/drawingml/2006/picture">
                  <pic:nvPicPr>
                    <pic:cNvPr id="56" name="Рисунок 89" descr="base_23792_85543_529"/>
                    <pic:cNvPicPr preferRelativeResize="0">
                      <a:picLocks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6330DB42">
      <w:pPr>
        <w:pStyle w:val="8"/>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drawing>
          <wp:inline distT="0" distB="0" distL="0" distR="0">
            <wp:extent cx="1390650" cy="257175"/>
            <wp:effectExtent l="0" t="0" r="0" b="0"/>
            <wp:docPr id="90" name="Рисунок 90" descr="base_23792_85543_530"/>
            <wp:cNvGraphicFramePr/>
            <a:graphic xmlns:a="http://schemas.openxmlformats.org/drawingml/2006/main">
              <a:graphicData uri="http://schemas.openxmlformats.org/drawingml/2006/picture">
                <pic:pic xmlns:pic="http://schemas.openxmlformats.org/drawingml/2006/picture">
                  <pic:nvPicPr>
                    <pic:cNvPr id="90" name="Рисунок 90" descr="base_23792_85543_530"/>
                    <pic:cNvPicPr preferRelativeResize="0">
                      <a:picLocks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a:xfrm>
                      <a:off x="0" y="0"/>
                      <a:ext cx="1390650" cy="257175"/>
                    </a:xfrm>
                    <a:prstGeom prst="rect">
                      <a:avLst/>
                    </a:prstGeom>
                    <a:noFill/>
                    <a:ln>
                      <a:noFill/>
                    </a:ln>
                  </pic:spPr>
                </pic:pic>
              </a:graphicData>
            </a:graphic>
          </wp:inline>
        </w:drawing>
      </w:r>
    </w:p>
    <w:p w14:paraId="64586D43">
      <w:pPr>
        <w:pStyle w:val="8"/>
        <w:spacing w:line="360" w:lineRule="auto"/>
        <w:ind w:firstLine="709"/>
        <w:jc w:val="both"/>
        <w:rPr>
          <w:rFonts w:ascii="Times New Roman" w:hAnsi="Times New Roman" w:cs="Times New Roman"/>
          <w:sz w:val="28"/>
          <w:szCs w:val="28"/>
        </w:rPr>
      </w:pPr>
      <w:r>
        <w:rPr>
          <w:rFonts w:ascii="Times New Roman" w:hAnsi="Times New Roman" w:cs="Times New Roman"/>
          <w:position w:val="-12"/>
          <w:sz w:val="28"/>
          <w:szCs w:val="28"/>
        </w:rPr>
        <w:drawing>
          <wp:inline distT="0" distB="0" distL="0" distR="0">
            <wp:extent cx="247650" cy="257175"/>
            <wp:effectExtent l="0" t="0" r="0" b="0"/>
            <wp:docPr id="91" name="Рисунок 91" descr="base_23792_85543_531"/>
            <wp:cNvGraphicFramePr/>
            <a:graphic xmlns:a="http://schemas.openxmlformats.org/drawingml/2006/main">
              <a:graphicData uri="http://schemas.openxmlformats.org/drawingml/2006/picture">
                <pic:pic xmlns:pic="http://schemas.openxmlformats.org/drawingml/2006/picture">
                  <pic:nvPicPr>
                    <pic:cNvPr id="91" name="Рисунок 91" descr="base_23792_85543_531"/>
                    <pic:cNvPicPr preferRelativeResize="0">
                      <a:picLocks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 затраты на проведение аттестационных, проверочных и контрольных мероприятий;</w:t>
      </w:r>
    </w:p>
    <w:p w14:paraId="2F647E9B">
      <w:pPr>
        <w:pStyle w:val="8"/>
        <w:spacing w:line="360" w:lineRule="auto"/>
        <w:ind w:firstLine="709"/>
        <w:jc w:val="both"/>
        <w:rPr>
          <w:rFonts w:ascii="Times New Roman" w:hAnsi="Times New Roman" w:cs="Times New Roman"/>
          <w:sz w:val="28"/>
          <w:szCs w:val="28"/>
        </w:rPr>
      </w:pPr>
      <w:r>
        <w:rPr>
          <w:rFonts w:ascii="Times New Roman" w:hAnsi="Times New Roman" w:cs="Times New Roman"/>
          <w:position w:val="-10"/>
          <w:sz w:val="28"/>
          <w:szCs w:val="28"/>
        </w:rPr>
        <w:drawing>
          <wp:inline distT="0" distB="0" distL="0" distR="0">
            <wp:extent cx="257175" cy="247650"/>
            <wp:effectExtent l="0" t="0" r="0" b="0"/>
            <wp:docPr id="92" name="Рисунок 92" descr="base_23792_85543_532"/>
            <wp:cNvGraphicFramePr/>
            <a:graphic xmlns:a="http://schemas.openxmlformats.org/drawingml/2006/main">
              <a:graphicData uri="http://schemas.openxmlformats.org/drawingml/2006/picture">
                <pic:pic xmlns:pic="http://schemas.openxmlformats.org/drawingml/2006/picture">
                  <pic:nvPicPr>
                    <pic:cNvPr id="92" name="Рисунок 92" descr="base_23792_85543_532"/>
                    <pic:cNvPicPr preferRelativeResize="0">
                      <a:picLocks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257175" cy="247650"/>
                    </a:xfrm>
                    <a:prstGeom prst="rect">
                      <a:avLst/>
                    </a:prstGeom>
                    <a:noFill/>
                    <a:ln>
                      <a:noFill/>
                    </a:ln>
                  </pic:spPr>
                </pic:pic>
              </a:graphicData>
            </a:graphic>
          </wp:inline>
        </w:drawing>
      </w:r>
      <w:r>
        <w:rPr>
          <w:rFonts w:ascii="Times New Roman" w:hAnsi="Times New Roman" w:cs="Times New Roman"/>
          <w:sz w:val="28"/>
          <w:szCs w:val="28"/>
        </w:rPr>
        <w:t xml:space="preserve"> – затраты на приобретение простых (неисключительных) лицензий на использование программного обеспечения по защите информации.</w:t>
      </w:r>
    </w:p>
    <w:p w14:paraId="3D59BCED">
      <w:pPr>
        <w:pStyle w:val="8"/>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3.1.4 Затраты на проведение аттестационных, проверочных и контрольных мероприятий</w:t>
      </w:r>
      <w:r>
        <w:rPr>
          <w:rFonts w:ascii="Times New Roman" w:hAnsi="Times New Roman" w:cs="Times New Roman"/>
          <w:position w:val="-12"/>
          <w:sz w:val="28"/>
          <w:szCs w:val="28"/>
        </w:rPr>
        <w:drawing>
          <wp:inline distT="0" distB="0" distL="0" distR="0">
            <wp:extent cx="352425" cy="257175"/>
            <wp:effectExtent l="0" t="0" r="0" b="0"/>
            <wp:docPr id="55" name="Рисунок 93" descr="base_23792_85543_533"/>
            <wp:cNvGraphicFramePr/>
            <a:graphic xmlns:a="http://schemas.openxmlformats.org/drawingml/2006/main">
              <a:graphicData uri="http://schemas.openxmlformats.org/drawingml/2006/picture">
                <pic:pic xmlns:pic="http://schemas.openxmlformats.org/drawingml/2006/picture">
                  <pic:nvPicPr>
                    <pic:cNvPr id="55" name="Рисунок 93" descr="base_23792_85543_533"/>
                    <pic:cNvPicPr preferRelativeResize="0">
                      <a:picLocks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36B1A7EA">
      <w:pPr>
        <w:pStyle w:val="8"/>
        <w:spacing w:line="360" w:lineRule="auto"/>
        <w:ind w:firstLine="709"/>
        <w:jc w:val="center"/>
        <w:rPr>
          <w:rFonts w:ascii="Times New Roman" w:hAnsi="Times New Roman" w:cs="Times New Roman"/>
          <w:b/>
          <w:i/>
          <w:sz w:val="28"/>
          <w:szCs w:val="28"/>
        </w:rPr>
      </w:pPr>
      <w:r>
        <w:rPr>
          <w:rFonts w:ascii="Times New Roman" w:hAnsi="Times New Roman" w:cs="Times New Roman"/>
          <w:b/>
          <w:i/>
          <w:sz w:val="28"/>
          <w:szCs w:val="28"/>
        </w:rPr>
        <w:drawing>
          <wp:inline distT="0" distB="0" distL="0" distR="0">
            <wp:extent cx="2724150" cy="504825"/>
            <wp:effectExtent l="0" t="0" r="0" b="0"/>
            <wp:docPr id="54" name="Рисунок 94" descr="base_23792_85543_534"/>
            <wp:cNvGraphicFramePr/>
            <a:graphic xmlns:a="http://schemas.openxmlformats.org/drawingml/2006/main">
              <a:graphicData uri="http://schemas.openxmlformats.org/drawingml/2006/picture">
                <pic:pic xmlns:pic="http://schemas.openxmlformats.org/drawingml/2006/picture">
                  <pic:nvPicPr>
                    <pic:cNvPr id="54" name="Рисунок 94" descr="base_23792_85543_534"/>
                    <pic:cNvPicPr preferRelativeResize="0">
                      <a:picLocks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a:xfrm>
                      <a:off x="0" y="0"/>
                      <a:ext cx="2724150" cy="504825"/>
                    </a:xfrm>
                    <a:prstGeom prst="rect">
                      <a:avLst/>
                    </a:prstGeom>
                    <a:noFill/>
                    <a:ln>
                      <a:noFill/>
                    </a:ln>
                  </pic:spPr>
                </pic:pic>
              </a:graphicData>
            </a:graphic>
          </wp:inline>
        </w:drawing>
      </w:r>
    </w:p>
    <w:p w14:paraId="5883915A">
      <w:pPr>
        <w:pStyle w:val="8"/>
        <w:spacing w:line="360" w:lineRule="auto"/>
        <w:ind w:firstLine="709"/>
        <w:jc w:val="both"/>
        <w:rPr>
          <w:rFonts w:ascii="Times New Roman" w:hAnsi="Times New Roman" w:cs="Times New Roman"/>
          <w:sz w:val="28"/>
          <w:szCs w:val="28"/>
        </w:rPr>
      </w:pPr>
      <w:r>
        <w:rPr>
          <w:rFonts w:ascii="Times New Roman" w:hAnsi="Times New Roman" w:cs="Times New Roman"/>
          <w:position w:val="-14"/>
          <w:sz w:val="28"/>
          <w:szCs w:val="28"/>
        </w:rPr>
        <w:drawing>
          <wp:inline distT="0" distB="0" distL="0" distR="0">
            <wp:extent cx="314325" cy="257175"/>
            <wp:effectExtent l="0" t="0" r="0" b="0"/>
            <wp:docPr id="95" name="Рисунок 95" descr="base_23792_85543_535"/>
            <wp:cNvGraphicFramePr/>
            <a:graphic xmlns:a="http://schemas.openxmlformats.org/drawingml/2006/main">
              <a:graphicData uri="http://schemas.openxmlformats.org/drawingml/2006/picture">
                <pic:pic xmlns:pic="http://schemas.openxmlformats.org/drawingml/2006/picture">
                  <pic:nvPicPr>
                    <pic:cNvPr id="95" name="Рисунок 95" descr="base_23792_85543_535"/>
                    <pic:cNvPicPr preferRelativeResize="0">
                      <a:picLocks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аттестуемых i-х объектов (помещений);</w:t>
      </w:r>
    </w:p>
    <w:p w14:paraId="4A6BFF43">
      <w:pPr>
        <w:pStyle w:val="8"/>
        <w:spacing w:line="360" w:lineRule="auto"/>
        <w:ind w:firstLine="709"/>
        <w:jc w:val="both"/>
        <w:rPr>
          <w:rFonts w:ascii="Times New Roman" w:hAnsi="Times New Roman" w:cs="Times New Roman"/>
          <w:sz w:val="28"/>
          <w:szCs w:val="28"/>
        </w:rPr>
      </w:pPr>
      <w:r>
        <w:rPr>
          <w:rFonts w:ascii="Times New Roman" w:hAnsi="Times New Roman" w:cs="Times New Roman"/>
          <w:position w:val="-14"/>
          <w:sz w:val="28"/>
          <w:szCs w:val="28"/>
        </w:rPr>
        <w:drawing>
          <wp:inline distT="0" distB="0" distL="0" distR="0">
            <wp:extent cx="285750" cy="257175"/>
            <wp:effectExtent l="0" t="0" r="0" b="0"/>
            <wp:docPr id="96" name="Рисунок 96" descr="base_23792_85543_536"/>
            <wp:cNvGraphicFramePr/>
            <a:graphic xmlns:a="http://schemas.openxmlformats.org/drawingml/2006/main">
              <a:graphicData uri="http://schemas.openxmlformats.org/drawingml/2006/picture">
                <pic:pic xmlns:pic="http://schemas.openxmlformats.org/drawingml/2006/picture">
                  <pic:nvPicPr>
                    <pic:cNvPr id="96" name="Рисунок 96" descr="base_23792_85543_536"/>
                    <pic:cNvPicPr preferRelativeResize="0">
                      <a:picLocks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–цена проведения аттестации 1 i-го объекта (помещения);</w:t>
      </w:r>
    </w:p>
    <w:p w14:paraId="2C2C97D1">
      <w:pPr>
        <w:pStyle w:val="8"/>
        <w:spacing w:line="360" w:lineRule="auto"/>
        <w:ind w:firstLine="709"/>
        <w:jc w:val="both"/>
        <w:rPr>
          <w:rFonts w:ascii="Times New Roman" w:hAnsi="Times New Roman" w:cs="Times New Roman"/>
          <w:sz w:val="28"/>
          <w:szCs w:val="28"/>
        </w:rPr>
      </w:pPr>
      <w:r>
        <w:rPr>
          <w:rFonts w:ascii="Times New Roman" w:hAnsi="Times New Roman" w:cs="Times New Roman"/>
          <w:position w:val="-14"/>
          <w:sz w:val="28"/>
          <w:szCs w:val="28"/>
        </w:rPr>
        <w:drawing>
          <wp:inline distT="0" distB="0" distL="0" distR="0">
            <wp:extent cx="314325" cy="257175"/>
            <wp:effectExtent l="0" t="0" r="0" b="0"/>
            <wp:docPr id="97" name="Рисунок 97" descr="base_23792_85543_537"/>
            <wp:cNvGraphicFramePr/>
            <a:graphic xmlns:a="http://schemas.openxmlformats.org/drawingml/2006/main">
              <a:graphicData uri="http://schemas.openxmlformats.org/drawingml/2006/picture">
                <pic:pic xmlns:pic="http://schemas.openxmlformats.org/drawingml/2006/picture">
                  <pic:nvPicPr>
                    <pic:cNvPr id="97" name="Рисунок 97" descr="base_23792_85543_537"/>
                    <pic:cNvPicPr preferRelativeResize="0">
                      <a:picLocks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–количество единиц j-го оборудования (устройств), требующих проверки;</w:t>
      </w:r>
    </w:p>
    <w:p w14:paraId="45C8E4AC">
      <w:pPr>
        <w:pStyle w:val="8"/>
        <w:spacing w:line="360" w:lineRule="auto"/>
        <w:ind w:firstLine="709"/>
        <w:jc w:val="both"/>
        <w:rPr>
          <w:rFonts w:ascii="Times New Roman" w:hAnsi="Times New Roman" w:cs="Times New Roman"/>
          <w:sz w:val="28"/>
          <w:szCs w:val="28"/>
        </w:rPr>
      </w:pPr>
      <w:r>
        <w:rPr>
          <w:rFonts w:ascii="Times New Roman" w:hAnsi="Times New Roman" w:cs="Times New Roman"/>
          <w:position w:val="-14"/>
          <w:sz w:val="28"/>
          <w:szCs w:val="28"/>
        </w:rPr>
        <w:drawing>
          <wp:inline distT="0" distB="0" distL="0" distR="0">
            <wp:extent cx="285750" cy="257175"/>
            <wp:effectExtent l="0" t="0" r="0" b="0"/>
            <wp:docPr id="98" name="Рисунок 98" descr="base_23792_85543_538"/>
            <wp:cNvGraphicFramePr/>
            <a:graphic xmlns:a="http://schemas.openxmlformats.org/drawingml/2006/main">
              <a:graphicData uri="http://schemas.openxmlformats.org/drawingml/2006/picture">
                <pic:pic xmlns:pic="http://schemas.openxmlformats.org/drawingml/2006/picture">
                  <pic:nvPicPr>
                    <pic:cNvPr id="98" name="Рисунок 98" descr="base_23792_85543_538"/>
                    <pic:cNvPicPr preferRelativeResize="0">
                      <a:picLocks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–цена проведения проверки 1 единицы j-го оборудования (устройства).</w:t>
      </w:r>
    </w:p>
    <w:p w14:paraId="46F979B8">
      <w:pPr>
        <w:pStyle w:val="8"/>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№10.</w:t>
      </w:r>
    </w:p>
    <w:p w14:paraId="6BBF5C83">
      <w:pPr>
        <w:pStyle w:val="8"/>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Таблица №10</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98"/>
        <w:gridCol w:w="1985"/>
        <w:gridCol w:w="2658"/>
      </w:tblGrid>
      <w:tr w14:paraId="322CD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98" w:type="dxa"/>
          </w:tcPr>
          <w:p w14:paraId="274CF12C">
            <w:pPr>
              <w:pStyle w:val="8"/>
              <w:jc w:val="center"/>
              <w:rPr>
                <w:rFonts w:ascii="Times New Roman" w:hAnsi="Times New Roman" w:cs="Times New Roman" w:eastAsiaTheme="minorHAnsi"/>
                <w:sz w:val="28"/>
                <w:szCs w:val="28"/>
                <w:highlight w:val="yellow"/>
                <w:lang w:eastAsia="en-US"/>
              </w:rPr>
            </w:pPr>
            <w:r>
              <w:rPr>
                <w:rFonts w:ascii="Times New Roman" w:hAnsi="Times New Roman" w:cs="Times New Roman" w:eastAsiaTheme="minorHAnsi"/>
                <w:sz w:val="28"/>
                <w:szCs w:val="28"/>
                <w:lang w:eastAsia="en-US"/>
              </w:rPr>
              <w:t>Наименование мероприятия</w:t>
            </w:r>
          </w:p>
        </w:tc>
        <w:tc>
          <w:tcPr>
            <w:tcW w:w="1985" w:type="dxa"/>
          </w:tcPr>
          <w:p w14:paraId="4DCCE7E5">
            <w:pPr>
              <w:pStyle w:val="8"/>
              <w:jc w:val="center"/>
              <w:rPr>
                <w:rFonts w:ascii="Times New Roman" w:hAnsi="Times New Roman" w:cs="Times New Roman" w:eastAsiaTheme="minorHAnsi"/>
                <w:sz w:val="28"/>
                <w:szCs w:val="28"/>
                <w:lang w:eastAsia="en-US"/>
              </w:rPr>
            </w:pPr>
            <w:r>
              <w:rPr>
                <w:rFonts w:ascii="Times New Roman" w:hAnsi="Times New Roman" w:cs="Times New Roman" w:eastAsiaTheme="minorHAnsi"/>
                <w:sz w:val="28"/>
                <w:szCs w:val="28"/>
                <w:lang w:eastAsia="en-US"/>
              </w:rPr>
              <w:t>Количество аттестуемых объектов на министерство/учреждение</w:t>
            </w:r>
          </w:p>
        </w:tc>
        <w:tc>
          <w:tcPr>
            <w:tcW w:w="2658" w:type="dxa"/>
          </w:tcPr>
          <w:p w14:paraId="48E91DE6">
            <w:pPr>
              <w:pStyle w:val="8"/>
              <w:jc w:val="center"/>
              <w:rPr>
                <w:rFonts w:ascii="Times New Roman" w:hAnsi="Times New Roman" w:cs="Times New Roman" w:eastAsiaTheme="minorHAnsi"/>
                <w:sz w:val="28"/>
                <w:szCs w:val="28"/>
                <w:lang w:eastAsia="en-US"/>
              </w:rPr>
            </w:pPr>
            <w:r>
              <w:rPr>
                <w:rFonts w:ascii="Times New Roman" w:hAnsi="Times New Roman" w:cs="Times New Roman" w:eastAsiaTheme="minorHAnsi"/>
                <w:sz w:val="28"/>
                <w:szCs w:val="28"/>
                <w:lang w:eastAsia="en-US"/>
              </w:rPr>
              <w:t>Цена проведения аттестации 1 объекта (руб.)</w:t>
            </w:r>
          </w:p>
        </w:tc>
      </w:tr>
      <w:tr w14:paraId="3CB78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98" w:type="dxa"/>
          </w:tcPr>
          <w:p w14:paraId="7CF42FAC">
            <w:pPr>
              <w:pStyle w:val="8"/>
              <w:jc w:val="both"/>
              <w:rPr>
                <w:rFonts w:ascii="Times New Roman" w:hAnsi="Times New Roman" w:cs="Times New Roman"/>
                <w:sz w:val="28"/>
                <w:szCs w:val="28"/>
              </w:rPr>
            </w:pPr>
            <w:r>
              <w:rPr>
                <w:rFonts w:ascii="Times New Roman" w:hAnsi="Times New Roman" w:cs="Times New Roman"/>
                <w:sz w:val="28"/>
                <w:szCs w:val="28"/>
              </w:rPr>
              <w:t>Комплекс мероприятий по защите автоматизированного рабочего места (АРМ) Заказчика, предназначенного для обработки закрытой информации</w:t>
            </w:r>
          </w:p>
        </w:tc>
        <w:tc>
          <w:tcPr>
            <w:tcW w:w="1985" w:type="dxa"/>
          </w:tcPr>
          <w:p w14:paraId="3ED5CF0C">
            <w:pPr>
              <w:pStyle w:val="8"/>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2B74D90D">
            <w:pPr>
              <w:pStyle w:val="8"/>
              <w:jc w:val="both"/>
              <w:rPr>
                <w:rFonts w:ascii="Times New Roman" w:hAnsi="Times New Roman" w:cs="Times New Roman"/>
                <w:sz w:val="28"/>
                <w:szCs w:val="28"/>
              </w:rPr>
            </w:pPr>
            <w:r>
              <w:rPr>
                <w:rFonts w:ascii="Times New Roman" w:hAnsi="Times New Roman" w:cs="Times New Roman"/>
                <w:sz w:val="28"/>
                <w:szCs w:val="28"/>
              </w:rPr>
              <w:t>не более 100 000,00</w:t>
            </w:r>
          </w:p>
        </w:tc>
      </w:tr>
      <w:tr w14:paraId="6AE7F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98" w:type="dxa"/>
          </w:tcPr>
          <w:p w14:paraId="686DE922">
            <w:pPr>
              <w:pStyle w:val="8"/>
              <w:jc w:val="both"/>
              <w:rPr>
                <w:rFonts w:ascii="Times New Roman" w:hAnsi="Times New Roman" w:cs="Times New Roman"/>
                <w:sz w:val="28"/>
                <w:szCs w:val="28"/>
              </w:rPr>
            </w:pPr>
            <w:r>
              <w:rPr>
                <w:rFonts w:ascii="Times New Roman" w:hAnsi="Times New Roman" w:cs="Times New Roman"/>
                <w:sz w:val="28"/>
                <w:szCs w:val="28"/>
              </w:rPr>
              <w:t>Аттестация информационной системы на соответствие требованиям безопасности информации</w:t>
            </w:r>
          </w:p>
        </w:tc>
        <w:tc>
          <w:tcPr>
            <w:tcW w:w="1985" w:type="dxa"/>
          </w:tcPr>
          <w:p w14:paraId="5B95B130">
            <w:pPr>
              <w:pStyle w:val="8"/>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18BB7799">
            <w:pPr>
              <w:pStyle w:val="8"/>
              <w:jc w:val="both"/>
              <w:rPr>
                <w:rFonts w:ascii="Times New Roman" w:hAnsi="Times New Roman" w:cs="Times New Roman"/>
                <w:sz w:val="28"/>
                <w:szCs w:val="28"/>
              </w:rPr>
            </w:pPr>
            <w:r>
              <w:rPr>
                <w:rFonts w:ascii="Times New Roman" w:hAnsi="Times New Roman" w:cs="Times New Roman"/>
                <w:sz w:val="28"/>
                <w:szCs w:val="28"/>
              </w:rPr>
              <w:t>не более 200 000,00</w:t>
            </w:r>
          </w:p>
        </w:tc>
      </w:tr>
      <w:tr w14:paraId="04227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98" w:type="dxa"/>
          </w:tcPr>
          <w:p w14:paraId="600B2DEA">
            <w:pPr>
              <w:pStyle w:val="8"/>
              <w:jc w:val="both"/>
              <w:rPr>
                <w:rFonts w:ascii="Times New Roman" w:hAnsi="Times New Roman" w:cs="Times New Roman"/>
                <w:sz w:val="28"/>
                <w:szCs w:val="28"/>
              </w:rPr>
            </w:pPr>
            <w:r>
              <w:rPr>
                <w:rFonts w:ascii="Times New Roman" w:hAnsi="Times New Roman" w:cs="Times New Roman"/>
                <w:sz w:val="28"/>
                <w:szCs w:val="28"/>
              </w:rPr>
              <w:t>Аттестация информационной системы по требованиям обработки информации, составляющей государственную тайну</w:t>
            </w:r>
          </w:p>
        </w:tc>
        <w:tc>
          <w:tcPr>
            <w:tcW w:w="1985" w:type="dxa"/>
          </w:tcPr>
          <w:p w14:paraId="27ED61D2">
            <w:pPr>
              <w:pStyle w:val="8"/>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58CE79C6">
            <w:pPr>
              <w:pStyle w:val="8"/>
              <w:spacing w:line="360" w:lineRule="auto"/>
              <w:rPr>
                <w:rFonts w:ascii="Times New Roman" w:hAnsi="Times New Roman" w:cs="Times New Roman"/>
                <w:sz w:val="28"/>
                <w:szCs w:val="28"/>
              </w:rPr>
            </w:pPr>
            <w:r>
              <w:rPr>
                <w:rFonts w:ascii="Times New Roman" w:hAnsi="Times New Roman" w:cs="Times New Roman"/>
                <w:sz w:val="28"/>
                <w:szCs w:val="28"/>
              </w:rPr>
              <w:t>не более 200 000,00</w:t>
            </w:r>
          </w:p>
        </w:tc>
      </w:tr>
      <w:tr w14:paraId="55483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98" w:type="dxa"/>
          </w:tcPr>
          <w:p w14:paraId="39E967F2">
            <w:pPr>
              <w:pStyle w:val="8"/>
              <w:jc w:val="both"/>
              <w:rPr>
                <w:rFonts w:ascii="Times New Roman" w:hAnsi="Times New Roman" w:cs="Times New Roman"/>
                <w:sz w:val="28"/>
                <w:szCs w:val="28"/>
              </w:rPr>
            </w:pPr>
            <w:r>
              <w:rPr>
                <w:rFonts w:ascii="Times New Roman" w:hAnsi="Times New Roman" w:cs="Times New Roman"/>
                <w:sz w:val="28"/>
                <w:szCs w:val="28"/>
              </w:rPr>
              <w:t>Контрольная проверка информационной системы по требованиям обработки информации, составляющей государственную тайну</w:t>
            </w:r>
          </w:p>
        </w:tc>
        <w:tc>
          <w:tcPr>
            <w:tcW w:w="1985" w:type="dxa"/>
          </w:tcPr>
          <w:p w14:paraId="4A458575">
            <w:pPr>
              <w:pStyle w:val="8"/>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681DAB79">
            <w:pPr>
              <w:pStyle w:val="8"/>
              <w:spacing w:line="360" w:lineRule="auto"/>
              <w:rPr>
                <w:rFonts w:ascii="Times New Roman" w:hAnsi="Times New Roman" w:cs="Times New Roman"/>
                <w:sz w:val="28"/>
                <w:szCs w:val="28"/>
              </w:rPr>
            </w:pPr>
            <w:r>
              <w:rPr>
                <w:rFonts w:ascii="Times New Roman" w:hAnsi="Times New Roman" w:cs="Times New Roman"/>
                <w:sz w:val="28"/>
                <w:szCs w:val="28"/>
              </w:rPr>
              <w:t>не более 120 000,00</w:t>
            </w:r>
          </w:p>
        </w:tc>
      </w:tr>
    </w:tbl>
    <w:p w14:paraId="4E54E673">
      <w:pPr>
        <w:pStyle w:val="8"/>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3.1.5. Затраты на приобретение средств защиты информации от несанкционированного доступа или простых (неисключительных) лицензий на использование программного обеспечения по защите информации </w:t>
      </w:r>
      <w:r>
        <w:rPr>
          <w:rFonts w:ascii="Times New Roman" w:hAnsi="Times New Roman" w:cs="Times New Roman"/>
          <w:position w:val="-10"/>
          <w:sz w:val="28"/>
          <w:szCs w:val="28"/>
        </w:rPr>
        <w:drawing>
          <wp:inline distT="0" distB="0" distL="0" distR="0">
            <wp:extent cx="371475" cy="247650"/>
            <wp:effectExtent l="0" t="0" r="0" b="0"/>
            <wp:docPr id="99" name="Рисунок 99" descr="base_23792_85543_539"/>
            <wp:cNvGraphicFramePr/>
            <a:graphic xmlns:a="http://schemas.openxmlformats.org/drawingml/2006/main">
              <a:graphicData uri="http://schemas.openxmlformats.org/drawingml/2006/picture">
                <pic:pic xmlns:pic="http://schemas.openxmlformats.org/drawingml/2006/picture">
                  <pic:nvPicPr>
                    <pic:cNvPr id="99" name="Рисунок 99" descr="base_23792_85543_539"/>
                    <pic:cNvPicPr preferRelativeResize="0">
                      <a:picLocks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a:xfrm>
                      <a:off x="0" y="0"/>
                      <a:ext cx="371475" cy="247650"/>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A199708">
      <w:pPr>
        <w:pStyle w:val="8"/>
        <w:ind w:firstLine="709"/>
        <w:jc w:val="center"/>
        <w:rPr>
          <w:rFonts w:ascii="Times New Roman" w:hAnsi="Times New Roman" w:cs="Times New Roman"/>
          <w:sz w:val="28"/>
          <w:szCs w:val="28"/>
        </w:rPr>
      </w:pPr>
      <w:r>
        <w:rPr>
          <w:rFonts w:ascii="Times New Roman" w:hAnsi="Times New Roman" w:cs="Times New Roman"/>
          <w:sz w:val="28"/>
          <w:szCs w:val="28"/>
        </w:rPr>
        <w:drawing>
          <wp:inline distT="0" distB="0" distL="0" distR="0">
            <wp:extent cx="1724025" cy="476250"/>
            <wp:effectExtent l="0" t="0" r="0" b="0"/>
            <wp:docPr id="100" name="Рисунок 100" descr="base_23792_85543_540"/>
            <wp:cNvGraphicFramePr/>
            <a:graphic xmlns:a="http://schemas.openxmlformats.org/drawingml/2006/main">
              <a:graphicData uri="http://schemas.openxmlformats.org/drawingml/2006/picture">
                <pic:pic xmlns:pic="http://schemas.openxmlformats.org/drawingml/2006/picture">
                  <pic:nvPicPr>
                    <pic:cNvPr id="100" name="Рисунок 100" descr="base_23792_85543_540"/>
                    <pic:cNvPicPr preferRelativeResize="0">
                      <a:picLocks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a:xfrm>
                      <a:off x="0" y="0"/>
                      <a:ext cx="1724025" cy="476250"/>
                    </a:xfrm>
                    <a:prstGeom prst="rect">
                      <a:avLst/>
                    </a:prstGeom>
                    <a:noFill/>
                    <a:ln>
                      <a:noFill/>
                    </a:ln>
                  </pic:spPr>
                </pic:pic>
              </a:graphicData>
            </a:graphic>
          </wp:inline>
        </w:drawing>
      </w:r>
    </w:p>
    <w:p w14:paraId="32C3CBCC">
      <w:pPr>
        <w:pStyle w:val="8"/>
        <w:spacing w:line="360" w:lineRule="auto"/>
        <w:ind w:firstLine="709"/>
        <w:jc w:val="both"/>
        <w:rPr>
          <w:rFonts w:ascii="Times New Roman" w:hAnsi="Times New Roman" w:cs="Times New Roman"/>
          <w:sz w:val="28"/>
          <w:szCs w:val="28"/>
        </w:rPr>
      </w:pPr>
      <w:r>
        <w:rPr>
          <w:rFonts w:ascii="Times New Roman" w:hAnsi="Times New Roman" w:cs="Times New Roman"/>
          <w:position w:val="-14"/>
          <w:sz w:val="28"/>
          <w:szCs w:val="28"/>
        </w:rPr>
        <w:drawing>
          <wp:inline distT="0" distB="0" distL="0" distR="0">
            <wp:extent cx="333375" cy="257175"/>
            <wp:effectExtent l="0" t="0" r="0" b="0"/>
            <wp:docPr id="53" name="Рисунок 101" descr="base_23792_85543_541"/>
            <wp:cNvGraphicFramePr/>
            <a:graphic xmlns:a="http://schemas.openxmlformats.org/drawingml/2006/main">
              <a:graphicData uri="http://schemas.openxmlformats.org/drawingml/2006/picture">
                <pic:pic xmlns:pic="http://schemas.openxmlformats.org/drawingml/2006/picture">
                  <pic:nvPicPr>
                    <pic:cNvPr id="53" name="Рисунок 101" descr="base_23792_85543_541"/>
                    <pic:cNvPicPr preferRelativeResize="0">
                      <a:picLocks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приобретаемых средств защиты информации от несанкционированного доступа или простых (неисключительных) лицензий на использование i-го программного обеспечения по защите информации;</w:t>
      </w:r>
    </w:p>
    <w:p w14:paraId="1C6E2C4D">
      <w:pPr>
        <w:pStyle w:val="8"/>
        <w:spacing w:line="360" w:lineRule="auto"/>
        <w:ind w:firstLine="709"/>
        <w:jc w:val="both"/>
        <w:rPr>
          <w:rFonts w:ascii="Times New Roman" w:hAnsi="Times New Roman" w:cs="Times New Roman"/>
          <w:sz w:val="28"/>
          <w:szCs w:val="28"/>
        </w:rPr>
      </w:pPr>
      <w:r>
        <w:rPr>
          <w:rFonts w:ascii="Times New Roman" w:hAnsi="Times New Roman" w:cs="Times New Roman"/>
          <w:position w:val="-14"/>
          <w:sz w:val="28"/>
          <w:szCs w:val="28"/>
        </w:rPr>
        <w:drawing>
          <wp:inline distT="0" distB="0" distL="0" distR="0">
            <wp:extent cx="295275" cy="257175"/>
            <wp:effectExtent l="0" t="0" r="0" b="0"/>
            <wp:docPr id="52" name="Рисунок 102" descr="base_23792_85543_542"/>
            <wp:cNvGraphicFramePr/>
            <a:graphic xmlns:a="http://schemas.openxmlformats.org/drawingml/2006/main">
              <a:graphicData uri="http://schemas.openxmlformats.org/drawingml/2006/picture">
                <pic:pic xmlns:pic="http://schemas.openxmlformats.org/drawingml/2006/picture">
                  <pic:nvPicPr>
                    <pic:cNvPr id="52" name="Рисунок 102" descr="base_23792_85543_542"/>
                    <pic:cNvPicPr preferRelativeResize="0">
                      <a:picLocks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–цена единицы простой (неисключительной) лицензии на использование i-го программного обеспечения по защите информации.</w:t>
      </w:r>
    </w:p>
    <w:p w14:paraId="49A63B9F">
      <w:pPr>
        <w:pStyle w:val="8"/>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№11.</w:t>
      </w:r>
    </w:p>
    <w:p w14:paraId="5B8BAFA5">
      <w:pPr>
        <w:rPr>
          <w:rFonts w:ascii="Times New Roman" w:hAnsi="Times New Roman" w:cs="Times New Roman"/>
          <w:sz w:val="28"/>
          <w:szCs w:val="28"/>
        </w:rPr>
      </w:pPr>
      <w:r>
        <w:rPr>
          <w:rFonts w:ascii="Times New Roman" w:hAnsi="Times New Roman" w:cs="Times New Roman"/>
          <w:sz w:val="28"/>
          <w:szCs w:val="28"/>
        </w:rPr>
        <w:br w:type="page"/>
      </w:r>
    </w:p>
    <w:p w14:paraId="094A1EB4">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№11</w:t>
      </w:r>
    </w:p>
    <w:p w14:paraId="7B888DFE">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Нормативы затрат на приобретение простых (неисключительных) лицензий </w:t>
      </w:r>
    </w:p>
    <w:p w14:paraId="123EE05D">
      <w:pPr>
        <w:widowControl w:val="0"/>
        <w:autoSpaceDE w:val="0"/>
        <w:autoSpaceDN w:val="0"/>
        <w:spacing w:after="120" w:line="240" w:lineRule="auto"/>
        <w:jc w:val="center"/>
        <w:rPr>
          <w:rFonts w:ascii="Times New Roman" w:hAnsi="Times New Roman" w:cs="Times New Roman"/>
          <w:sz w:val="28"/>
          <w:szCs w:val="28"/>
        </w:rPr>
      </w:pPr>
      <w:r>
        <w:rPr>
          <w:rFonts w:ascii="Times New Roman" w:hAnsi="Times New Roman" w:cs="Times New Roman"/>
          <w:sz w:val="28"/>
          <w:szCs w:val="28"/>
        </w:rPr>
        <w:t>на использование программного обеспечения по защите информации</w:t>
      </w:r>
    </w:p>
    <w:tbl>
      <w:tblPr>
        <w:tblStyle w:val="3"/>
        <w:tblW w:w="978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24"/>
        <w:gridCol w:w="4557"/>
      </w:tblGrid>
      <w:tr w14:paraId="58E04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4" w:type="dxa"/>
            <w:shd w:val="clear" w:color="auto" w:fill="auto"/>
          </w:tcPr>
          <w:p w14:paraId="11320CA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Программное обеспечение по защите информации</w:t>
            </w:r>
          </w:p>
        </w:tc>
        <w:tc>
          <w:tcPr>
            <w:tcW w:w="4557" w:type="dxa"/>
          </w:tcPr>
          <w:p w14:paraId="481B42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единицы простой (неисключительной) лицензии на использование программного обеспечения (рублей)</w:t>
            </w:r>
          </w:p>
        </w:tc>
      </w:tr>
      <w:tr w14:paraId="1786D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4" w:type="dxa"/>
            <w:shd w:val="clear" w:color="auto" w:fill="auto"/>
          </w:tcPr>
          <w:p w14:paraId="2F2FCD42">
            <w:pPr>
              <w:spacing w:after="0" w:line="240" w:lineRule="auto"/>
              <w:rPr>
                <w:rFonts w:ascii="Times New Roman" w:hAnsi="Times New Roman" w:cs="Times New Roman"/>
                <w:sz w:val="28"/>
                <w:szCs w:val="28"/>
              </w:rPr>
            </w:pPr>
            <w:r>
              <w:rPr>
                <w:rFonts w:ascii="Times New Roman" w:hAnsi="Times New Roman" w:cs="Times New Roman"/>
                <w:sz w:val="28"/>
                <w:szCs w:val="28"/>
              </w:rPr>
              <w:t>Лицензия на право использования СКЗИ «КриптоПро CSP» на одном рабочем месте MS Windows</w:t>
            </w:r>
          </w:p>
        </w:tc>
        <w:tc>
          <w:tcPr>
            <w:tcW w:w="4557" w:type="dxa"/>
          </w:tcPr>
          <w:p w14:paraId="57E2168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9 000,00</w:t>
            </w:r>
          </w:p>
        </w:tc>
      </w:tr>
      <w:tr w14:paraId="15E68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4" w:type="dxa"/>
            <w:shd w:val="clear" w:color="auto" w:fill="auto"/>
          </w:tcPr>
          <w:p w14:paraId="2B4C9D1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Лицензия на право использования СКЗИ «КриптоПро CSP» версия 4.0 на одном рабочем месте для </w:t>
            </w:r>
            <w:r>
              <w:rPr>
                <w:rFonts w:ascii="Times New Roman" w:hAnsi="Times New Roman" w:cs="Times New Roman"/>
                <w:sz w:val="28"/>
                <w:szCs w:val="28"/>
                <w:lang w:val="en-US"/>
              </w:rPr>
              <w:t>iOS</w:t>
            </w:r>
            <w:r>
              <w:rPr>
                <w:rFonts w:ascii="Times New Roman" w:hAnsi="Times New Roman" w:cs="Times New Roman"/>
                <w:sz w:val="28"/>
                <w:szCs w:val="28"/>
              </w:rPr>
              <w:t xml:space="preserve"> </w:t>
            </w:r>
            <w:r>
              <w:rPr>
                <w:rFonts w:ascii="Times New Roman" w:hAnsi="Times New Roman" w:cs="Times New Roman"/>
                <w:sz w:val="28"/>
                <w:szCs w:val="28"/>
                <w:lang w:val="en-US"/>
              </w:rPr>
              <w:t>c</w:t>
            </w:r>
            <w:r>
              <w:rPr>
                <w:rFonts w:ascii="Times New Roman" w:hAnsi="Times New Roman" w:cs="Times New Roman"/>
                <w:sz w:val="28"/>
                <w:szCs w:val="28"/>
              </w:rPr>
              <w:t xml:space="preserve"> дистрибутивом</w:t>
            </w:r>
          </w:p>
        </w:tc>
        <w:tc>
          <w:tcPr>
            <w:tcW w:w="4557" w:type="dxa"/>
          </w:tcPr>
          <w:p w14:paraId="35338E4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9 000,00 </w:t>
            </w:r>
          </w:p>
        </w:tc>
      </w:tr>
      <w:tr w14:paraId="60850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4" w:type="dxa"/>
            <w:shd w:val="clear" w:color="auto" w:fill="auto"/>
          </w:tcPr>
          <w:p w14:paraId="48ED8BD1">
            <w:pPr>
              <w:spacing w:after="0" w:line="240" w:lineRule="auto"/>
              <w:rPr>
                <w:rFonts w:ascii="Times New Roman" w:hAnsi="Times New Roman" w:cs="Times New Roman"/>
                <w:sz w:val="28"/>
                <w:szCs w:val="28"/>
              </w:rPr>
            </w:pPr>
            <w:r>
              <w:rPr>
                <w:rFonts w:ascii="Times New Roman" w:hAnsi="Times New Roman" w:cs="Times New Roman"/>
                <w:sz w:val="28"/>
                <w:szCs w:val="28"/>
              </w:rPr>
              <w:t>Неисключительные права СБиС электронная отчетность</w:t>
            </w:r>
          </w:p>
        </w:tc>
        <w:tc>
          <w:tcPr>
            <w:tcW w:w="4557" w:type="dxa"/>
          </w:tcPr>
          <w:p w14:paraId="5C19B01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10 000,00</w:t>
            </w:r>
          </w:p>
        </w:tc>
      </w:tr>
      <w:tr w14:paraId="13C11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4" w:type="dxa"/>
            <w:shd w:val="clear" w:color="auto" w:fill="auto"/>
          </w:tcPr>
          <w:p w14:paraId="6F756F35">
            <w:pPr>
              <w:spacing w:after="0" w:line="240" w:lineRule="auto"/>
              <w:rPr>
                <w:rFonts w:ascii="Times New Roman" w:hAnsi="Times New Roman" w:cs="Times New Roman"/>
                <w:sz w:val="28"/>
                <w:szCs w:val="28"/>
              </w:rPr>
            </w:pPr>
            <w:r>
              <w:rPr>
                <w:rFonts w:ascii="Times New Roman" w:hAnsi="Times New Roman" w:cs="Times New Roman"/>
                <w:sz w:val="28"/>
                <w:szCs w:val="28"/>
              </w:rPr>
              <w:t>Неисключительные права на использование программы для ЭВМ</w:t>
            </w:r>
          </w:p>
        </w:tc>
        <w:tc>
          <w:tcPr>
            <w:tcW w:w="4557" w:type="dxa"/>
          </w:tcPr>
          <w:p w14:paraId="07383E7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13 500,00</w:t>
            </w:r>
          </w:p>
        </w:tc>
      </w:tr>
      <w:tr w14:paraId="16194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4" w:type="dxa"/>
            <w:shd w:val="clear" w:color="auto" w:fill="auto"/>
          </w:tcPr>
          <w:p w14:paraId="6AD1B300">
            <w:pPr>
              <w:spacing w:after="0" w:line="240" w:lineRule="auto"/>
              <w:rPr>
                <w:rFonts w:ascii="Times New Roman" w:hAnsi="Times New Roman" w:cs="Times New Roman"/>
                <w:sz w:val="28"/>
                <w:szCs w:val="28"/>
              </w:rPr>
            </w:pPr>
            <w:r>
              <w:rPr>
                <w:rFonts w:ascii="Times New Roman" w:hAnsi="Times New Roman" w:cs="Times New Roman"/>
                <w:sz w:val="28"/>
                <w:szCs w:val="28"/>
              </w:rPr>
              <w:t>Программное обеспечение по защите информации</w:t>
            </w:r>
          </w:p>
        </w:tc>
        <w:tc>
          <w:tcPr>
            <w:tcW w:w="4557" w:type="dxa"/>
          </w:tcPr>
          <w:p w14:paraId="09CCEFD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lang w:val="en-US"/>
              </w:rPr>
              <w:t>2</w:t>
            </w:r>
            <w:r>
              <w:rPr>
                <w:rFonts w:ascii="Times New Roman" w:hAnsi="Times New Roman" w:cs="Times New Roman"/>
                <w:sz w:val="28"/>
                <w:szCs w:val="28"/>
              </w:rPr>
              <w:t>0 000,00</w:t>
            </w:r>
          </w:p>
        </w:tc>
      </w:tr>
      <w:tr w14:paraId="6E62F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4" w:type="dxa"/>
            <w:shd w:val="clear" w:color="auto" w:fill="auto"/>
          </w:tcPr>
          <w:p w14:paraId="641E6AAF">
            <w:pPr>
              <w:spacing w:after="0" w:line="240" w:lineRule="auto"/>
              <w:rPr>
                <w:rFonts w:ascii="Times New Roman" w:hAnsi="Times New Roman" w:cs="Times New Roman"/>
                <w:sz w:val="28"/>
                <w:szCs w:val="28"/>
              </w:rPr>
            </w:pPr>
            <w:r>
              <w:rPr>
                <w:rFonts w:ascii="Times New Roman" w:hAnsi="Times New Roman" w:cs="Times New Roman"/>
                <w:sz w:val="28"/>
                <w:szCs w:val="28"/>
              </w:rPr>
              <w:t>Передача фискальных данных между налогоплательщиком и налоговым органом</w:t>
            </w:r>
          </w:p>
        </w:tc>
        <w:tc>
          <w:tcPr>
            <w:tcW w:w="4557" w:type="dxa"/>
          </w:tcPr>
          <w:p w14:paraId="7DEFAA3D">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не более 4 000,00</w:t>
            </w:r>
          </w:p>
        </w:tc>
      </w:tr>
      <w:tr w14:paraId="6B423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4" w:type="dxa"/>
            <w:shd w:val="clear" w:color="auto" w:fill="auto"/>
          </w:tcPr>
          <w:p w14:paraId="64CD1CB4">
            <w:pPr>
              <w:spacing w:after="0" w:line="240" w:lineRule="auto"/>
              <w:rPr>
                <w:rFonts w:ascii="Times New Roman" w:hAnsi="Times New Roman" w:cs="Times New Roman"/>
                <w:sz w:val="28"/>
                <w:szCs w:val="28"/>
              </w:rPr>
            </w:pPr>
            <w:r>
              <w:rPr>
                <w:rFonts w:ascii="Times New Roman" w:hAnsi="Times New Roman" w:cs="Times New Roman"/>
                <w:sz w:val="28"/>
                <w:szCs w:val="28"/>
              </w:rPr>
              <w:t>Неисключительное право использования программного продукта VipNetClient 4.x</w:t>
            </w:r>
          </w:p>
          <w:p w14:paraId="2BD30F1E">
            <w:pPr>
              <w:spacing w:after="0" w:line="240" w:lineRule="auto"/>
              <w:rPr>
                <w:rFonts w:ascii="Times New Roman" w:hAnsi="Times New Roman" w:cs="Times New Roman"/>
                <w:sz w:val="28"/>
                <w:szCs w:val="28"/>
              </w:rPr>
            </w:pPr>
            <w:r>
              <w:rPr>
                <w:rFonts w:ascii="Times New Roman" w:hAnsi="Times New Roman" w:cs="Times New Roman"/>
                <w:sz w:val="28"/>
                <w:szCs w:val="28"/>
              </w:rPr>
              <w:t>(КС3) на 1 АРМ (лицензия) для сети VipNet №2506 с установочным комплектом</w:t>
            </w:r>
          </w:p>
        </w:tc>
        <w:tc>
          <w:tcPr>
            <w:tcW w:w="4557" w:type="dxa"/>
          </w:tcPr>
          <w:p w14:paraId="5AF7B0B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r w14:paraId="4CEAF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4" w:type="dxa"/>
            <w:shd w:val="clear" w:color="auto" w:fill="auto"/>
          </w:tcPr>
          <w:p w14:paraId="6585BABD">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Неисключительное право использования программного продукта VipNetClient </w:t>
            </w:r>
            <w:r>
              <w:rPr>
                <w:rFonts w:ascii="Times New Roman" w:hAnsi="Times New Roman" w:cs="Times New Roman"/>
                <w:sz w:val="28"/>
                <w:szCs w:val="28"/>
                <w:lang w:val="en-US"/>
              </w:rPr>
              <w:t>for</w:t>
            </w:r>
            <w:r>
              <w:rPr>
                <w:rFonts w:ascii="Times New Roman" w:hAnsi="Times New Roman" w:cs="Times New Roman"/>
                <w:sz w:val="28"/>
                <w:szCs w:val="28"/>
              </w:rPr>
              <w:t xml:space="preserve"> </w:t>
            </w:r>
            <w:r>
              <w:rPr>
                <w:rFonts w:ascii="Times New Roman" w:hAnsi="Times New Roman" w:cs="Times New Roman"/>
                <w:sz w:val="28"/>
                <w:szCs w:val="28"/>
                <w:lang w:val="en-US"/>
              </w:rPr>
              <w:t>IOS</w:t>
            </w:r>
            <w:r>
              <w:rPr>
                <w:rFonts w:ascii="Times New Roman" w:hAnsi="Times New Roman" w:cs="Times New Roman"/>
                <w:sz w:val="28"/>
                <w:szCs w:val="28"/>
              </w:rPr>
              <w:t xml:space="preserve"> 2.x (КС1) на 1 АРМ (лицензия) для сети VipNet №2506 с установочным комплектом</w:t>
            </w:r>
          </w:p>
        </w:tc>
        <w:tc>
          <w:tcPr>
            <w:tcW w:w="4557" w:type="dxa"/>
          </w:tcPr>
          <w:p w14:paraId="5659C51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9 000,00</w:t>
            </w:r>
          </w:p>
        </w:tc>
      </w:tr>
      <w:tr w14:paraId="12885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4" w:type="dxa"/>
            <w:shd w:val="clear" w:color="auto" w:fill="auto"/>
          </w:tcPr>
          <w:p w14:paraId="6DA405C0">
            <w:pPr>
              <w:spacing w:after="0" w:line="240" w:lineRule="auto"/>
              <w:rPr>
                <w:rFonts w:ascii="Times New Roman" w:hAnsi="Times New Roman" w:cs="Times New Roman"/>
                <w:sz w:val="28"/>
                <w:szCs w:val="28"/>
              </w:rPr>
            </w:pPr>
            <w:r>
              <w:rPr>
                <w:rFonts w:ascii="Times New Roman" w:hAnsi="Times New Roman" w:cs="Times New Roman"/>
                <w:sz w:val="28"/>
                <w:szCs w:val="28"/>
              </w:rPr>
              <w:t>Средство защиты информации от несанкционированного доступа DallasLock 8.0-К. Право на использование (СЗИ НСД, СКН) с установочным комплектом</w:t>
            </w:r>
          </w:p>
        </w:tc>
        <w:tc>
          <w:tcPr>
            <w:tcW w:w="4557" w:type="dxa"/>
          </w:tcPr>
          <w:p w14:paraId="487D85F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9000,00</w:t>
            </w:r>
          </w:p>
        </w:tc>
      </w:tr>
      <w:tr w14:paraId="2E79B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4" w:type="dxa"/>
            <w:shd w:val="clear" w:color="auto" w:fill="auto"/>
          </w:tcPr>
          <w:p w14:paraId="147E5146">
            <w:pPr>
              <w:spacing w:after="0" w:line="240" w:lineRule="auto"/>
              <w:rPr>
                <w:rFonts w:ascii="Times New Roman" w:hAnsi="Times New Roman" w:cs="Times New Roman"/>
                <w:sz w:val="28"/>
                <w:szCs w:val="28"/>
              </w:rPr>
            </w:pPr>
            <w:r>
              <w:rPr>
                <w:rFonts w:ascii="Times New Roman" w:hAnsi="Times New Roman" w:cs="Times New Roman"/>
                <w:sz w:val="28"/>
                <w:szCs w:val="28"/>
              </w:rPr>
              <w:t>Средство доверенной загрузки DallasLock PCI-E FullSize с датчиком вскрытия корпуса, в комплекте с Rutoken.</w:t>
            </w:r>
          </w:p>
        </w:tc>
        <w:tc>
          <w:tcPr>
            <w:tcW w:w="4557" w:type="dxa"/>
          </w:tcPr>
          <w:p w14:paraId="4D00B05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15000,00</w:t>
            </w:r>
          </w:p>
        </w:tc>
      </w:tr>
    </w:tbl>
    <w:p w14:paraId="101E4D28">
      <w:pPr>
        <w:pStyle w:val="8"/>
        <w:spacing w:before="120" w:line="360" w:lineRule="auto"/>
        <w:ind w:firstLine="567"/>
        <w:rPr>
          <w:rFonts w:ascii="Times New Roman" w:hAnsi="Times New Roman" w:cs="Times New Roman"/>
          <w:sz w:val="28"/>
          <w:szCs w:val="28"/>
        </w:rPr>
      </w:pPr>
    </w:p>
    <w:p w14:paraId="2F8B6D0C">
      <w:pPr>
        <w:pStyle w:val="8"/>
        <w:spacing w:before="120" w:line="360" w:lineRule="auto"/>
        <w:ind w:firstLine="567"/>
        <w:rPr>
          <w:rFonts w:ascii="Times New Roman" w:hAnsi="Times New Roman" w:cs="Times New Roman"/>
          <w:sz w:val="28"/>
          <w:szCs w:val="28"/>
        </w:rPr>
      </w:pPr>
    </w:p>
    <w:p w14:paraId="18C7E486">
      <w:pPr>
        <w:pStyle w:val="8"/>
        <w:spacing w:before="12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3.1.6 Затраты по созданию и содержанию сайта З </w:t>
      </w:r>
      <w:r>
        <w:rPr>
          <w:rFonts w:ascii="Times New Roman" w:hAnsi="Times New Roman" w:cs="Times New Roman"/>
          <w:sz w:val="28"/>
          <w:szCs w:val="28"/>
          <w:vertAlign w:val="subscript"/>
        </w:rPr>
        <w:t xml:space="preserve">тс </w:t>
      </w:r>
      <w:r>
        <w:rPr>
          <w:rFonts w:ascii="Times New Roman" w:hAnsi="Times New Roman" w:cs="Times New Roman"/>
          <w:sz w:val="28"/>
          <w:szCs w:val="28"/>
        </w:rPr>
        <w:t>определяются по формуле:</w:t>
      </w:r>
    </w:p>
    <w:p w14:paraId="4796A599">
      <w:pPr>
        <w:pStyle w:val="8"/>
        <w:spacing w:line="360" w:lineRule="auto"/>
        <w:ind w:firstLine="567"/>
        <w:jc w:val="center"/>
        <w:rPr>
          <w:rFonts w:ascii="Times New Roman" w:hAnsi="Times New Roman" w:cs="Times New Roman"/>
          <w:sz w:val="28"/>
          <w:szCs w:val="28"/>
        </w:rPr>
      </w:pPr>
      <m:oMath>
        <m:sSub>
          <m:sSubPr>
            <m:ctrlPr>
              <w:rPr>
                <w:rFonts w:ascii="Cambria Math" w:hAnsi="Cambria Math" w:eastAsia="Cambria Math" w:cs="Cambria Math"/>
                <w:i/>
                <w:sz w:val="28"/>
                <w:szCs w:val="28"/>
              </w:rPr>
            </m:ctrlPr>
          </m:sSubPr>
          <m:e>
            <m:r>
              <m:rPr/>
              <w:rPr>
                <w:rFonts w:ascii="Cambria Math" w:hAnsi="Cambria Math" w:eastAsia="Cambria Math" w:cs="Cambria Math"/>
                <w:sz w:val="28"/>
                <w:szCs w:val="28"/>
              </w:rPr>
              <m:t>З</m:t>
            </m:r>
            <m:ctrlPr>
              <w:rPr>
                <w:rFonts w:ascii="Cambria Math" w:hAnsi="Cambria Math" w:eastAsia="Cambria Math" w:cs="Cambria Math"/>
                <w:i/>
                <w:sz w:val="28"/>
                <w:szCs w:val="28"/>
              </w:rPr>
            </m:ctrlPr>
          </m:e>
          <m:sub>
            <m:r>
              <m:rPr/>
              <w:rPr>
                <w:rFonts w:ascii="Cambria Math" w:hAnsi="Cambria Math" w:eastAsia="Cambria Math" w:cs="Cambria Math"/>
                <w:sz w:val="28"/>
                <w:szCs w:val="28"/>
              </w:rPr>
              <m:t>тс</m:t>
            </m:r>
            <m:ctrlPr>
              <w:rPr>
                <w:rFonts w:ascii="Cambria Math" w:hAnsi="Cambria Math" w:eastAsia="Cambria Math" w:cs="Cambria Math"/>
                <w:i/>
                <w:sz w:val="28"/>
                <w:szCs w:val="28"/>
              </w:rPr>
            </m:ctrlPr>
          </m:sub>
        </m:sSub>
        <m:r>
          <m:rPr/>
          <w:rPr>
            <w:rFonts w:ascii="Cambria Math" w:hAnsi="Cambria Math" w:eastAsia="Cambria Math" w:cs="Cambria Math"/>
            <w:sz w:val="28"/>
            <w:szCs w:val="28"/>
          </w:rPr>
          <m:t>=</m:t>
        </m:r>
        <m:nary>
          <m:naryPr>
            <m:chr m:val="∑"/>
            <m:grow m:val="1"/>
            <m:ctrlPr>
              <w:rPr>
                <w:rFonts w:ascii="Cambria Math" w:hAnsi="Cambria Math" w:cs="Times New Roman"/>
                <w:sz w:val="28"/>
                <w:szCs w:val="28"/>
              </w:rPr>
            </m:ctrlPr>
          </m:naryPr>
          <m:sub>
            <m:r>
              <m:rPr/>
              <w:rPr>
                <w:rFonts w:ascii="Cambria Math" w:hAnsi="Cambria Math" w:eastAsia="Cambria Math" w:cs="Cambria Math"/>
                <w:sz w:val="28"/>
                <w:szCs w:val="28"/>
                <w:lang w:val="en-US"/>
              </w:rPr>
              <m:t>i</m:t>
            </m:r>
            <m:r>
              <m:rPr/>
              <w:rPr>
                <w:rFonts w:ascii="Cambria Math" w:hAnsi="Cambria Math" w:eastAsia="Cambria Math" w:cs="Cambria Math"/>
                <w:sz w:val="28"/>
                <w:szCs w:val="28"/>
              </w:rPr>
              <m:t>=1</m:t>
            </m:r>
            <m:ctrlPr>
              <w:rPr>
                <w:rFonts w:ascii="Cambria Math" w:hAnsi="Cambria Math" w:cs="Times New Roman"/>
                <w:sz w:val="28"/>
                <w:szCs w:val="28"/>
              </w:rPr>
            </m:ctrlPr>
          </m:sub>
          <m:sup>
            <m:r>
              <m:rPr/>
              <w:rPr>
                <w:rFonts w:ascii="Cambria Math" w:hAnsi="Cambria Math" w:eastAsia="Cambria Math" w:cs="Cambria Math"/>
                <w:sz w:val="28"/>
                <w:szCs w:val="28"/>
              </w:rPr>
              <m:t>n</m:t>
            </m:r>
            <m:ctrlPr>
              <w:rPr>
                <w:rFonts w:ascii="Cambria Math" w:hAnsi="Cambria Math" w:cs="Times New Roman"/>
                <w:sz w:val="28"/>
                <w:szCs w:val="28"/>
              </w:rPr>
            </m:ctrlPr>
          </m:sup>
          <m:e>
            <m:sSub>
              <m:sSubPr>
                <m:ctrlPr>
                  <w:rPr>
                    <w:rFonts w:ascii="Cambria Math" w:hAnsi="Cambria Math" w:cs="Times New Roman"/>
                    <w:i/>
                    <w:sz w:val="28"/>
                    <w:szCs w:val="28"/>
                  </w:rPr>
                </m:ctrlPr>
              </m:sSubPr>
              <m:e>
                <m:r>
                  <m:rPr/>
                  <w:rPr>
                    <w:rFonts w:ascii="Cambria Math" w:hAnsi="Cambria Math" w:cs="Times New Roman"/>
                    <w:sz w:val="28"/>
                    <w:szCs w:val="28"/>
                  </w:rPr>
                  <m:t>Q</m:t>
                </m:r>
                <m:ctrlPr>
                  <w:rPr>
                    <w:rFonts w:ascii="Cambria Math" w:hAnsi="Cambria Math" w:cs="Times New Roman"/>
                    <w:i/>
                    <w:sz w:val="28"/>
                    <w:szCs w:val="28"/>
                  </w:rPr>
                </m:ctrlPr>
              </m:e>
              <m:sub>
                <m:r>
                  <m:rPr/>
                  <w:rPr>
                    <w:rFonts w:ascii="Cambria Math" w:hAnsi="Cambria Math" w:cs="Times New Roman"/>
                    <w:sz w:val="28"/>
                    <w:szCs w:val="28"/>
                  </w:rPr>
                  <m:t>iтс</m:t>
                </m:r>
                <m:ctrlPr>
                  <w:rPr>
                    <w:rFonts w:ascii="Cambria Math" w:hAnsi="Cambria Math" w:cs="Times New Roman"/>
                    <w:i/>
                    <w:sz w:val="28"/>
                    <w:szCs w:val="28"/>
                  </w:rPr>
                </m:ctrlPr>
              </m:sub>
            </m:sSub>
            <m:r>
              <m:rPr/>
              <w:rPr>
                <w:rFonts w:ascii="Cambria Math" w:hAnsi="Cambria Math" w:cs="Times New Roman"/>
                <w:sz w:val="28"/>
                <w:szCs w:val="28"/>
              </w:rPr>
              <m:t>×</m:t>
            </m:r>
            <m:sSub>
              <m:sSubPr>
                <m:ctrlPr>
                  <w:rPr>
                    <w:rFonts w:ascii="Cambria Math" w:hAnsi="Cambria Math" w:cs="Times New Roman"/>
                    <w:i/>
                    <w:sz w:val="28"/>
                    <w:szCs w:val="28"/>
                  </w:rPr>
                </m:ctrlPr>
              </m:sSubPr>
              <m:e>
                <m:r>
                  <m:rPr/>
                  <w:rPr>
                    <w:rFonts w:ascii="Cambria Math" w:hAnsi="Cambria Math" w:cs="Times New Roman"/>
                    <w:sz w:val="28"/>
                    <w:szCs w:val="28"/>
                    <w:lang w:val="en-US"/>
                  </w:rPr>
                  <m:t>P</m:t>
                </m:r>
                <m:ctrlPr>
                  <w:rPr>
                    <w:rFonts w:ascii="Cambria Math" w:hAnsi="Cambria Math" w:cs="Times New Roman"/>
                    <w:i/>
                    <w:sz w:val="28"/>
                    <w:szCs w:val="28"/>
                  </w:rPr>
                </m:ctrlPr>
              </m:e>
              <m:sub>
                <m:r>
                  <m:rPr/>
                  <w:rPr>
                    <w:rFonts w:ascii="Cambria Math" w:hAnsi="Cambria Math" w:cs="Times New Roman"/>
                    <w:sz w:val="28"/>
                    <w:szCs w:val="28"/>
                  </w:rPr>
                  <m:t>тс</m:t>
                </m:r>
                <m:ctrlPr>
                  <w:rPr>
                    <w:rFonts w:ascii="Cambria Math" w:hAnsi="Cambria Math" w:cs="Times New Roman"/>
                    <w:i/>
                    <w:sz w:val="28"/>
                    <w:szCs w:val="28"/>
                  </w:rPr>
                </m:ctrlPr>
              </m:sub>
            </m:sSub>
            <m:ctrlPr>
              <w:rPr>
                <w:rFonts w:ascii="Cambria Math" w:hAnsi="Cambria Math" w:cs="Times New Roman"/>
                <w:sz w:val="28"/>
                <w:szCs w:val="28"/>
              </w:rPr>
            </m:ctrlPr>
          </m:e>
        </m:nary>
      </m:oMath>
      <w:r>
        <w:rPr>
          <w:rFonts w:ascii="Times New Roman" w:hAnsi="Times New Roman" w:cs="Times New Roman"/>
          <w:sz w:val="28"/>
          <w:szCs w:val="28"/>
        </w:rPr>
        <w:t>, где</w:t>
      </w:r>
    </w:p>
    <w:p w14:paraId="795BABE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Q</w:t>
      </w:r>
      <w:r>
        <w:rPr>
          <w:rFonts w:ascii="Times New Roman" w:hAnsi="Times New Roman" w:cs="Times New Roman"/>
          <w:sz w:val="28"/>
          <w:szCs w:val="28"/>
          <w:vertAlign w:val="subscript"/>
          <w:lang w:val="en-US"/>
        </w:rPr>
        <w:t>i</w:t>
      </w:r>
      <w:r>
        <w:rPr>
          <w:rFonts w:ascii="Times New Roman" w:hAnsi="Times New Roman" w:cs="Times New Roman"/>
          <w:sz w:val="28"/>
          <w:szCs w:val="28"/>
          <w:vertAlign w:val="subscript"/>
        </w:rPr>
        <w:t xml:space="preserve">тс </w:t>
      </w:r>
      <w:r>
        <w:rPr>
          <w:rFonts w:ascii="Times New Roman" w:hAnsi="Times New Roman" w:cs="Times New Roman"/>
          <w:sz w:val="28"/>
          <w:szCs w:val="28"/>
        </w:rPr>
        <w:t xml:space="preserve">– количество </w:t>
      </w:r>
      <w:r>
        <w:rPr>
          <w:rFonts w:ascii="Times New Roman" w:hAnsi="Times New Roman" w:cs="Times New Roman"/>
          <w:sz w:val="28"/>
          <w:szCs w:val="28"/>
          <w:lang w:val="en-US"/>
        </w:rPr>
        <w:t>i</w:t>
      </w:r>
      <w:r>
        <w:rPr>
          <w:rFonts w:ascii="Times New Roman" w:hAnsi="Times New Roman" w:cs="Times New Roman"/>
          <w:sz w:val="28"/>
          <w:szCs w:val="28"/>
        </w:rPr>
        <w:t>-го сайта;</w:t>
      </w:r>
    </w:p>
    <w:p w14:paraId="4CDECE8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en-US"/>
        </w:rPr>
        <w:t>P</w:t>
      </w:r>
      <w:r>
        <w:rPr>
          <w:rFonts w:ascii="Times New Roman" w:hAnsi="Times New Roman" w:cs="Times New Roman"/>
          <w:sz w:val="28"/>
          <w:szCs w:val="28"/>
          <w:vertAlign w:val="subscript"/>
        </w:rPr>
        <w:t xml:space="preserve">тс  </w:t>
      </w:r>
      <w:r>
        <w:rPr>
          <w:rFonts w:ascii="Times New Roman" w:hAnsi="Times New Roman" w:cs="Times New Roman"/>
          <w:sz w:val="28"/>
          <w:szCs w:val="28"/>
        </w:rPr>
        <w:t>- цена услуги по содержанию сайта.</w:t>
      </w:r>
    </w:p>
    <w:p w14:paraId="1AA50202">
      <w:pPr>
        <w:pStyle w:val="8"/>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№12.</w:t>
      </w:r>
    </w:p>
    <w:p w14:paraId="474AC3B8">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№12</w:t>
      </w:r>
    </w:p>
    <w:p w14:paraId="1A433E2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Нормативы затрат на создание и содержание сайта</w:t>
      </w:r>
    </w:p>
    <w:tbl>
      <w:tblPr>
        <w:tblStyle w:val="3"/>
        <w:tblW w:w="978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24"/>
        <w:gridCol w:w="4557"/>
      </w:tblGrid>
      <w:tr w14:paraId="6F8C1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4" w:type="dxa"/>
            <w:shd w:val="clear" w:color="auto" w:fill="auto"/>
          </w:tcPr>
          <w:p w14:paraId="20B3ABD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норматива</w:t>
            </w:r>
          </w:p>
        </w:tc>
        <w:tc>
          <w:tcPr>
            <w:tcW w:w="4557" w:type="dxa"/>
          </w:tcPr>
          <w:p w14:paraId="27D3485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услуги в год (рублей)</w:t>
            </w:r>
          </w:p>
        </w:tc>
      </w:tr>
      <w:tr w14:paraId="2E222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1" w:type="dxa"/>
            <w:gridSpan w:val="2"/>
            <w:shd w:val="clear" w:color="auto" w:fill="auto"/>
            <w:vAlign w:val="center"/>
          </w:tcPr>
          <w:p w14:paraId="13A4A387">
            <w:pPr>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14:paraId="6D512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4" w:type="dxa"/>
            <w:shd w:val="clear" w:color="auto" w:fill="auto"/>
            <w:vAlign w:val="center"/>
          </w:tcPr>
          <w:p w14:paraId="6C5BB843">
            <w:pPr>
              <w:rPr>
                <w:rFonts w:ascii="Times New Roman" w:hAnsi="Times New Roman" w:cs="Times New Roman"/>
                <w:sz w:val="28"/>
                <w:szCs w:val="28"/>
              </w:rPr>
            </w:pPr>
            <w:r>
              <w:rPr>
                <w:rFonts w:ascii="Times New Roman" w:hAnsi="Times New Roman" w:cs="Times New Roman"/>
                <w:sz w:val="28"/>
                <w:szCs w:val="28"/>
              </w:rPr>
              <w:t>Разработка дизайна сайта</w:t>
            </w:r>
          </w:p>
        </w:tc>
        <w:tc>
          <w:tcPr>
            <w:tcW w:w="4557" w:type="dxa"/>
            <w:vAlign w:val="center"/>
          </w:tcPr>
          <w:p w14:paraId="15B8CB05">
            <w:pPr>
              <w:jc w:val="center"/>
              <w:rPr>
                <w:rFonts w:ascii="Times New Roman" w:hAnsi="Times New Roman" w:cs="Times New Roman"/>
                <w:sz w:val="28"/>
                <w:szCs w:val="28"/>
              </w:rPr>
            </w:pPr>
            <w:r>
              <w:rPr>
                <w:rFonts w:ascii="Times New Roman" w:hAnsi="Times New Roman" w:cs="Times New Roman"/>
                <w:sz w:val="28"/>
                <w:szCs w:val="28"/>
              </w:rPr>
              <w:t>не более 70 000,00</w:t>
            </w:r>
          </w:p>
        </w:tc>
      </w:tr>
      <w:tr w14:paraId="404F5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4" w:type="dxa"/>
            <w:shd w:val="clear" w:color="auto" w:fill="auto"/>
            <w:vAlign w:val="center"/>
          </w:tcPr>
          <w:p w14:paraId="5D990936">
            <w:pPr>
              <w:rPr>
                <w:rFonts w:ascii="Times New Roman" w:hAnsi="Times New Roman" w:cs="Times New Roman"/>
                <w:sz w:val="28"/>
                <w:szCs w:val="28"/>
              </w:rPr>
            </w:pPr>
            <w:r>
              <w:rPr>
                <w:rFonts w:ascii="Times New Roman" w:hAnsi="Times New Roman" w:cs="Times New Roman"/>
                <w:sz w:val="28"/>
                <w:szCs w:val="28"/>
              </w:rPr>
              <w:t>Разработка функциональной части сайта</w:t>
            </w:r>
          </w:p>
        </w:tc>
        <w:tc>
          <w:tcPr>
            <w:tcW w:w="4557" w:type="dxa"/>
            <w:vAlign w:val="center"/>
          </w:tcPr>
          <w:p w14:paraId="53034A89">
            <w:pPr>
              <w:jc w:val="center"/>
              <w:rPr>
                <w:rFonts w:ascii="Times New Roman" w:hAnsi="Times New Roman" w:cs="Times New Roman"/>
                <w:sz w:val="28"/>
                <w:szCs w:val="28"/>
              </w:rPr>
            </w:pPr>
            <w:r>
              <w:rPr>
                <w:rFonts w:ascii="Times New Roman" w:hAnsi="Times New Roman" w:cs="Times New Roman"/>
                <w:sz w:val="28"/>
                <w:szCs w:val="28"/>
              </w:rPr>
              <w:t>не более 70 000,00</w:t>
            </w:r>
          </w:p>
        </w:tc>
      </w:tr>
      <w:tr w14:paraId="225E4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trPr>
        <w:tc>
          <w:tcPr>
            <w:tcW w:w="5224" w:type="dxa"/>
            <w:shd w:val="clear" w:color="auto" w:fill="auto"/>
            <w:vAlign w:val="center"/>
          </w:tcPr>
          <w:p w14:paraId="3E908A6F">
            <w:pPr>
              <w:rPr>
                <w:rFonts w:ascii="Times New Roman" w:hAnsi="Times New Roman" w:cs="Times New Roman"/>
                <w:sz w:val="28"/>
                <w:szCs w:val="28"/>
              </w:rPr>
            </w:pPr>
            <w:r>
              <w:rPr>
                <w:rFonts w:ascii="Times New Roman" w:hAnsi="Times New Roman" w:cs="Times New Roman"/>
                <w:sz w:val="28"/>
                <w:szCs w:val="28"/>
              </w:rPr>
              <w:t>Оплата услуг хостинга (не более 2 единиц)</w:t>
            </w:r>
          </w:p>
        </w:tc>
        <w:tc>
          <w:tcPr>
            <w:tcW w:w="4557" w:type="dxa"/>
            <w:vAlign w:val="center"/>
          </w:tcPr>
          <w:p w14:paraId="4A1BAA3A">
            <w:pPr>
              <w:jc w:val="center"/>
              <w:rPr>
                <w:rFonts w:ascii="Times New Roman" w:hAnsi="Times New Roman" w:cs="Times New Roman"/>
                <w:sz w:val="28"/>
                <w:szCs w:val="28"/>
              </w:rPr>
            </w:pPr>
            <w:r>
              <w:rPr>
                <w:rFonts w:ascii="Times New Roman" w:hAnsi="Times New Roman" w:cs="Times New Roman"/>
                <w:sz w:val="28"/>
                <w:szCs w:val="28"/>
              </w:rPr>
              <w:t>не более 24 000,00 за одну услугу</w:t>
            </w:r>
          </w:p>
        </w:tc>
      </w:tr>
      <w:tr w14:paraId="32EAC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4" w:type="dxa"/>
            <w:shd w:val="clear" w:color="auto" w:fill="auto"/>
          </w:tcPr>
          <w:p w14:paraId="16E75640">
            <w:pPr>
              <w:spacing w:after="0" w:line="240" w:lineRule="auto"/>
              <w:rPr>
                <w:rFonts w:ascii="Times New Roman" w:hAnsi="Times New Roman" w:cs="Times New Roman"/>
                <w:sz w:val="28"/>
                <w:szCs w:val="28"/>
              </w:rPr>
            </w:pPr>
            <w:r>
              <w:rPr>
                <w:rFonts w:ascii="Times New Roman" w:hAnsi="Times New Roman" w:cs="Times New Roman"/>
                <w:sz w:val="28"/>
                <w:szCs w:val="28"/>
              </w:rPr>
              <w:t>Регистрация и продление домена (не более 2 единиц)</w:t>
            </w:r>
          </w:p>
        </w:tc>
        <w:tc>
          <w:tcPr>
            <w:tcW w:w="4557" w:type="dxa"/>
          </w:tcPr>
          <w:p w14:paraId="43E4931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1000,00 за одну услугу</w:t>
            </w:r>
          </w:p>
        </w:tc>
      </w:tr>
      <w:tr w14:paraId="66E9A9D4">
        <w:tblPrEx>
          <w:tblCellMar>
            <w:top w:w="0" w:type="dxa"/>
            <w:left w:w="108" w:type="dxa"/>
            <w:bottom w:w="0" w:type="dxa"/>
            <w:right w:w="108" w:type="dxa"/>
          </w:tblCellMar>
        </w:tblPrEx>
        <w:tc>
          <w:tcPr>
            <w:tcW w:w="5224" w:type="dxa"/>
            <w:shd w:val="clear" w:color="auto" w:fill="auto"/>
          </w:tcPr>
          <w:p w14:paraId="340F8900">
            <w:pPr>
              <w:spacing w:after="0" w:line="240" w:lineRule="auto"/>
              <w:rPr>
                <w:rFonts w:ascii="Times New Roman" w:hAnsi="Times New Roman" w:cs="Times New Roman"/>
                <w:sz w:val="28"/>
                <w:szCs w:val="28"/>
              </w:rPr>
            </w:pPr>
            <w:r>
              <w:rPr>
                <w:rFonts w:ascii="Times New Roman" w:hAnsi="Times New Roman" w:cs="Times New Roman"/>
                <w:sz w:val="28"/>
                <w:szCs w:val="28"/>
              </w:rPr>
              <w:t>Модернизация сайта</w:t>
            </w:r>
          </w:p>
        </w:tc>
        <w:tc>
          <w:tcPr>
            <w:tcW w:w="4557" w:type="dxa"/>
          </w:tcPr>
          <w:p w14:paraId="5307A249">
            <w:pPr>
              <w:tabs>
                <w:tab w:val="center" w:pos="2170"/>
              </w:tabs>
              <w:spacing w:after="0" w:line="240" w:lineRule="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не более 100 000,00 за одну услугу</w:t>
            </w:r>
          </w:p>
        </w:tc>
      </w:tr>
      <w:tr w14:paraId="47194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1" w:type="dxa"/>
            <w:gridSpan w:val="2"/>
            <w:shd w:val="clear" w:color="auto" w:fill="auto"/>
          </w:tcPr>
          <w:p w14:paraId="4D1F5C00">
            <w:pPr>
              <w:tabs>
                <w:tab w:val="center" w:pos="2170"/>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Учреждение</w:t>
            </w:r>
          </w:p>
        </w:tc>
      </w:tr>
      <w:tr w14:paraId="4CFD7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4" w:type="dxa"/>
            <w:shd w:val="clear" w:color="auto" w:fill="auto"/>
          </w:tcPr>
          <w:p w14:paraId="50955C23">
            <w:pPr>
              <w:spacing w:after="0" w:line="240" w:lineRule="auto"/>
              <w:rPr>
                <w:rFonts w:ascii="Times New Roman" w:hAnsi="Times New Roman" w:cs="Times New Roman"/>
                <w:sz w:val="28"/>
                <w:szCs w:val="28"/>
              </w:rPr>
            </w:pPr>
            <w:r>
              <w:rPr>
                <w:rFonts w:ascii="Times New Roman" w:hAnsi="Times New Roman" w:cs="Times New Roman"/>
                <w:sz w:val="28"/>
                <w:szCs w:val="28"/>
              </w:rPr>
              <w:t>Оплата услуг хостинга и продление домена (не более 2 единиц)</w:t>
            </w:r>
          </w:p>
        </w:tc>
        <w:tc>
          <w:tcPr>
            <w:tcW w:w="4557" w:type="dxa"/>
          </w:tcPr>
          <w:p w14:paraId="0CFC7ABE">
            <w:pPr>
              <w:tabs>
                <w:tab w:val="center" w:pos="2170"/>
              </w:tabs>
              <w:spacing w:after="0" w:line="240" w:lineRule="auto"/>
              <w:rPr>
                <w:rFonts w:ascii="Times New Roman" w:hAnsi="Times New Roman" w:cs="Times New Roman"/>
                <w:sz w:val="28"/>
                <w:szCs w:val="28"/>
              </w:rPr>
            </w:pPr>
            <w:r>
              <w:rPr>
                <w:rFonts w:ascii="Times New Roman" w:hAnsi="Times New Roman" w:cs="Times New Roman"/>
                <w:sz w:val="28"/>
                <w:szCs w:val="28"/>
              </w:rPr>
              <w:t>не более 24 000,00 за одну услугу</w:t>
            </w:r>
          </w:p>
        </w:tc>
      </w:tr>
    </w:tbl>
    <w:p w14:paraId="7299EBA7">
      <w:pPr>
        <w:pStyle w:val="8"/>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4. Затраты на приобретение основных средств, включающих:</w:t>
      </w:r>
    </w:p>
    <w:p w14:paraId="15F26234">
      <w:pPr>
        <w:autoSpaceDE w:val="0"/>
        <w:autoSpaceDN w:val="0"/>
        <w:adjustRightInd w:val="0"/>
        <w:spacing w:after="0" w:line="36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4.1. Затраты на приобретение рабочих станций (</w:t>
      </w:r>
      <w:r>
        <w:rPr>
          <w:rFonts w:ascii="Times New Roman" w:hAnsi="Times New Roman" w:eastAsia="Times New Roman" w:cs="Times New Roman"/>
          <w:position w:val="-14"/>
          <w:sz w:val="28"/>
          <w:szCs w:val="28"/>
          <w:lang w:eastAsia="ru-RU"/>
        </w:rPr>
        <w:drawing>
          <wp:inline distT="0" distB="0" distL="0" distR="0">
            <wp:extent cx="360680" cy="334645"/>
            <wp:effectExtent l="0" t="0" r="1270" b="0"/>
            <wp:docPr id="6"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05"/>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a:xfrm>
                      <a:off x="0" y="0"/>
                      <a:ext cx="360680" cy="334645"/>
                    </a:xfrm>
                    <a:prstGeom prst="rect">
                      <a:avLst/>
                    </a:prstGeom>
                    <a:noFill/>
                    <a:ln>
                      <a:noFill/>
                    </a:ln>
                  </pic:spPr>
                </pic:pic>
              </a:graphicData>
            </a:graphic>
          </wp:inline>
        </w:drawing>
      </w:r>
      <w:r>
        <w:rPr>
          <w:rFonts w:ascii="Times New Roman" w:hAnsi="Times New Roman" w:eastAsia="Times New Roman" w:cs="Times New Roman"/>
          <w:bCs/>
          <w:sz w:val="28"/>
          <w:szCs w:val="28"/>
          <w:lang w:eastAsia="ru-RU"/>
        </w:rPr>
        <w:t>) и источников бесперебойного питания (З</w:t>
      </w:r>
      <w:r>
        <w:rPr>
          <w:rFonts w:ascii="Times New Roman" w:hAnsi="Times New Roman" w:eastAsia="Times New Roman" w:cs="Times New Roman"/>
          <w:bCs/>
          <w:sz w:val="28"/>
          <w:szCs w:val="28"/>
          <w:vertAlign w:val="subscript"/>
          <w:lang w:eastAsia="ru-RU"/>
        </w:rPr>
        <w:t>ибп</w:t>
      </w:r>
      <w:r>
        <w:rPr>
          <w:rFonts w:ascii="Times New Roman" w:hAnsi="Times New Roman" w:eastAsia="Times New Roman" w:cs="Times New Roman"/>
          <w:bCs/>
          <w:sz w:val="28"/>
          <w:szCs w:val="28"/>
          <w:lang w:eastAsia="ru-RU"/>
        </w:rPr>
        <w:t>), определяемые по формуле:</w:t>
      </w:r>
    </w:p>
    <w:p w14:paraId="0EAE142C">
      <w:pPr>
        <w:widowControl w:val="0"/>
        <w:autoSpaceDE w:val="0"/>
        <w:autoSpaceDN w:val="0"/>
        <w:adjustRightInd w:val="0"/>
        <w:spacing w:after="0" w:line="360" w:lineRule="auto"/>
        <w:ind w:firstLine="709"/>
        <w:jc w:val="center"/>
        <w:rPr>
          <w:rFonts w:ascii="Times New Roman" w:hAnsi="Times New Roman" w:eastAsia="Times New Roman" w:cs="Times New Roman"/>
          <w:sz w:val="28"/>
          <w:szCs w:val="28"/>
          <w:lang w:eastAsia="ru-RU"/>
        </w:rPr>
      </w:pPr>
      <w:r>
        <w:rPr>
          <w:rFonts w:ascii="Times New Roman" w:hAnsi="Times New Roman" w:eastAsia="Times New Roman" w:cs="Times New Roman"/>
          <w:position w:val="-28"/>
          <w:sz w:val="28"/>
          <w:szCs w:val="28"/>
          <w:lang w:eastAsia="ru-RU"/>
        </w:rPr>
        <w:drawing>
          <wp:inline distT="0" distB="0" distL="0" distR="0">
            <wp:extent cx="2073275" cy="605155"/>
            <wp:effectExtent l="0" t="0" r="3175" b="444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a:xfrm>
                      <a:off x="0" y="0"/>
                      <a:ext cx="2073275" cy="605155"/>
                    </a:xfrm>
                    <a:prstGeom prst="rect">
                      <a:avLst/>
                    </a:prstGeom>
                    <a:noFill/>
                    <a:ln>
                      <a:noFill/>
                    </a:ln>
                  </pic:spPr>
                </pic:pic>
              </a:graphicData>
            </a:graphic>
          </wp:inline>
        </w:drawing>
      </w:r>
      <w:r>
        <w:rPr>
          <w:rFonts w:ascii="Times New Roman" w:hAnsi="Times New Roman" w:eastAsia="Times New Roman" w:cs="Times New Roman"/>
          <w:sz w:val="28"/>
          <w:szCs w:val="28"/>
          <w:lang w:eastAsia="ru-RU"/>
        </w:rPr>
        <w:t>, где:</w:t>
      </w:r>
    </w:p>
    <w:p w14:paraId="4748A710">
      <w:pPr>
        <w:autoSpaceDE w:val="0"/>
        <w:autoSpaceDN w:val="0"/>
        <w:adjustRightInd w:val="0"/>
        <w:spacing w:after="0" w:line="36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position w:val="-14"/>
          <w:sz w:val="28"/>
          <w:szCs w:val="28"/>
          <w:lang w:eastAsia="ru-RU"/>
        </w:rPr>
        <w:drawing>
          <wp:inline distT="0" distB="0" distL="0" distR="0">
            <wp:extent cx="862965" cy="33464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a:xfrm>
                      <a:off x="0" y="0"/>
                      <a:ext cx="862965" cy="334645"/>
                    </a:xfrm>
                    <a:prstGeom prst="rect">
                      <a:avLst/>
                    </a:prstGeom>
                    <a:noFill/>
                    <a:ln>
                      <a:noFill/>
                    </a:ln>
                  </pic:spPr>
                </pic:pic>
              </a:graphicData>
            </a:graphic>
          </wp:inline>
        </w:drawing>
      </w:r>
      <w:r>
        <w:rPr>
          <w:rFonts w:ascii="Times New Roman" w:hAnsi="Times New Roman" w:eastAsia="Times New Roman" w:cs="Times New Roman"/>
          <w:sz w:val="28"/>
          <w:szCs w:val="28"/>
          <w:lang w:eastAsia="ru-RU"/>
        </w:rPr>
        <w:t xml:space="preserve"> –количество рабочих станций по i-й должности, не превышающее предельное количество рабочих станций по i-й должности;</w:t>
      </w:r>
    </w:p>
    <w:p w14:paraId="493DEACD">
      <w:pPr>
        <w:autoSpaceDE w:val="0"/>
        <w:autoSpaceDN w:val="0"/>
        <w:adjustRightInd w:val="0"/>
        <w:spacing w:after="0" w:line="36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position w:val="-14"/>
          <w:sz w:val="28"/>
          <w:szCs w:val="28"/>
          <w:lang w:eastAsia="ru-RU"/>
        </w:rPr>
        <w:drawing>
          <wp:inline distT="0" distB="0" distL="0" distR="0">
            <wp:extent cx="399415" cy="334645"/>
            <wp:effectExtent l="0" t="0" r="63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a:xfrm>
                      <a:off x="0" y="0"/>
                      <a:ext cx="399415" cy="334645"/>
                    </a:xfrm>
                    <a:prstGeom prst="rect">
                      <a:avLst/>
                    </a:prstGeom>
                    <a:noFill/>
                    <a:ln>
                      <a:noFill/>
                    </a:ln>
                  </pic:spPr>
                </pic:pic>
              </a:graphicData>
            </a:graphic>
          </wp:inline>
        </w:drawing>
      </w:r>
      <w:r>
        <w:rPr>
          <w:rFonts w:ascii="Times New Roman" w:hAnsi="Times New Roman" w:eastAsia="Times New Roman" w:cs="Times New Roman"/>
          <w:sz w:val="28"/>
          <w:szCs w:val="28"/>
          <w:lang w:eastAsia="ru-RU"/>
        </w:rPr>
        <w:t xml:space="preserve"> –цена приобретения одной рабочей станции по i-й должности.</w:t>
      </w:r>
    </w:p>
    <w:p w14:paraId="67659A14">
      <w:pPr>
        <w:autoSpaceDE w:val="0"/>
        <w:autoSpaceDN w:val="0"/>
        <w:adjustRightInd w:val="0"/>
        <w:spacing w:after="0" w:line="36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Предельное количество рабочих станций по i-й должности (</w:t>
      </w:r>
      <w:r>
        <w:rPr>
          <w:rFonts w:ascii="Times New Roman" w:hAnsi="Times New Roman" w:eastAsia="Times New Roman" w:cs="Times New Roman"/>
          <w:position w:val="-14"/>
          <w:sz w:val="28"/>
          <w:szCs w:val="28"/>
          <w:lang w:eastAsia="ru-RU"/>
        </w:rPr>
        <w:drawing>
          <wp:inline distT="0" distB="0" distL="0" distR="0">
            <wp:extent cx="862965" cy="33464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a:xfrm>
                      <a:off x="0" y="0"/>
                      <a:ext cx="862965" cy="334645"/>
                    </a:xfrm>
                    <a:prstGeom prst="rect">
                      <a:avLst/>
                    </a:prstGeom>
                    <a:noFill/>
                    <a:ln>
                      <a:noFill/>
                    </a:ln>
                  </pic:spPr>
                </pic:pic>
              </a:graphicData>
            </a:graphic>
          </wp:inline>
        </w:drawing>
      </w:r>
      <w:r>
        <w:rPr>
          <w:rFonts w:ascii="Times New Roman" w:hAnsi="Times New Roman" w:eastAsia="Times New Roman" w:cs="Times New Roman"/>
          <w:sz w:val="28"/>
          <w:szCs w:val="28"/>
          <w:lang w:eastAsia="ru-RU"/>
        </w:rPr>
        <w:t>) определяется по формулам:</w:t>
      </w:r>
    </w:p>
    <w:p w14:paraId="3FD4E8C7">
      <w:pPr>
        <w:autoSpaceDE w:val="0"/>
        <w:autoSpaceDN w:val="0"/>
        <w:adjustRightInd w:val="0"/>
        <w:spacing w:after="0" w:line="36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для закрытого контура обработки информации:</w:t>
      </w:r>
    </w:p>
    <w:p w14:paraId="65F2E944">
      <w:pPr>
        <w:autoSpaceDE w:val="0"/>
        <w:autoSpaceDN w:val="0"/>
        <w:adjustRightInd w:val="0"/>
        <w:spacing w:after="0" w:line="360" w:lineRule="auto"/>
        <w:ind w:firstLine="709"/>
        <w:jc w:val="center"/>
        <w:rPr>
          <w:rFonts w:ascii="Times New Roman" w:hAnsi="Times New Roman" w:eastAsia="Times New Roman" w:cs="Times New Roman"/>
          <w:sz w:val="28"/>
          <w:szCs w:val="28"/>
          <w:lang w:eastAsia="ru-RU"/>
        </w:rPr>
      </w:pPr>
      <w:r>
        <w:rPr>
          <w:rFonts w:ascii="Times New Roman" w:hAnsi="Times New Roman" w:eastAsia="Times New Roman" w:cs="Times New Roman"/>
          <w:position w:val="-14"/>
          <w:sz w:val="28"/>
          <w:szCs w:val="28"/>
          <w:lang w:eastAsia="ru-RU"/>
        </w:rPr>
        <w:drawing>
          <wp:inline distT="0" distB="0" distL="0" distR="0">
            <wp:extent cx="1738630" cy="34798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a:xfrm>
                      <a:off x="0" y="0"/>
                      <a:ext cx="1738630" cy="347980"/>
                    </a:xfrm>
                    <a:prstGeom prst="rect">
                      <a:avLst/>
                    </a:prstGeom>
                    <a:noFill/>
                    <a:ln>
                      <a:noFill/>
                    </a:ln>
                  </pic:spPr>
                </pic:pic>
              </a:graphicData>
            </a:graphic>
          </wp:inline>
        </w:drawing>
      </w:r>
      <w:r>
        <w:rPr>
          <w:rFonts w:ascii="Times New Roman" w:hAnsi="Times New Roman" w:eastAsia="Times New Roman" w:cs="Times New Roman"/>
          <w:sz w:val="28"/>
          <w:szCs w:val="28"/>
          <w:lang w:eastAsia="ru-RU"/>
        </w:rPr>
        <w:t>,</w:t>
      </w:r>
    </w:p>
    <w:p w14:paraId="32EBC0C7">
      <w:pPr>
        <w:autoSpaceDE w:val="0"/>
        <w:autoSpaceDN w:val="0"/>
        <w:adjustRightInd w:val="0"/>
        <w:spacing w:after="0" w:line="36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для открытого контура обработки информации:</w:t>
      </w:r>
    </w:p>
    <w:p w14:paraId="194F5B6D">
      <w:pPr>
        <w:autoSpaceDE w:val="0"/>
        <w:autoSpaceDN w:val="0"/>
        <w:adjustRightInd w:val="0"/>
        <w:spacing w:after="0" w:line="360" w:lineRule="auto"/>
        <w:ind w:firstLine="709"/>
        <w:jc w:val="center"/>
        <w:rPr>
          <w:rFonts w:ascii="Times New Roman" w:hAnsi="Times New Roman" w:eastAsia="Times New Roman" w:cs="Times New Roman"/>
          <w:sz w:val="28"/>
          <w:szCs w:val="28"/>
          <w:lang w:eastAsia="ru-RU"/>
        </w:rPr>
      </w:pPr>
      <w:r>
        <w:rPr>
          <w:rFonts w:ascii="Times New Roman" w:hAnsi="Times New Roman" w:eastAsia="Times New Roman" w:cs="Times New Roman"/>
          <w:position w:val="-14"/>
          <w:sz w:val="28"/>
          <w:szCs w:val="28"/>
          <w:lang w:eastAsia="ru-RU"/>
        </w:rPr>
        <w:drawing>
          <wp:inline distT="0" distB="0" distL="0" distR="0">
            <wp:extent cx="1661160" cy="34798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a:xfrm>
                      <a:off x="0" y="0"/>
                      <a:ext cx="1661160" cy="347980"/>
                    </a:xfrm>
                    <a:prstGeom prst="rect">
                      <a:avLst/>
                    </a:prstGeom>
                    <a:noFill/>
                    <a:ln>
                      <a:noFill/>
                    </a:ln>
                  </pic:spPr>
                </pic:pic>
              </a:graphicData>
            </a:graphic>
          </wp:inline>
        </w:drawing>
      </w:r>
      <w:r>
        <w:rPr>
          <w:rFonts w:ascii="Times New Roman" w:hAnsi="Times New Roman" w:eastAsia="Times New Roman" w:cs="Times New Roman"/>
          <w:sz w:val="28"/>
          <w:szCs w:val="28"/>
          <w:lang w:eastAsia="ru-RU"/>
        </w:rPr>
        <w:t>, где:</w:t>
      </w:r>
    </w:p>
    <w:p w14:paraId="147322DE">
      <w:pPr>
        <w:autoSpaceDE w:val="0"/>
        <w:autoSpaceDN w:val="0"/>
        <w:adjustRightInd w:val="0"/>
        <w:spacing w:after="0" w:line="36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Ч</w:t>
      </w:r>
      <w:r>
        <w:rPr>
          <w:rFonts w:ascii="Times New Roman" w:hAnsi="Times New Roman" w:eastAsia="Times New Roman" w:cs="Times New Roman"/>
          <w:sz w:val="28"/>
          <w:szCs w:val="28"/>
          <w:vertAlign w:val="subscript"/>
          <w:lang w:eastAsia="ru-RU"/>
        </w:rPr>
        <w:t>оп</w:t>
      </w:r>
      <w:r>
        <w:rPr>
          <w:rFonts w:ascii="Times New Roman" w:hAnsi="Times New Roman" w:eastAsia="Times New Roman" w:cs="Times New Roman"/>
          <w:sz w:val="28"/>
          <w:szCs w:val="28"/>
          <w:lang w:eastAsia="ru-RU"/>
        </w:rPr>
        <w:t xml:space="preserve"> – расчетная численность основных работников, определяемая в соответствии с пунктами 17, 18, 21, 22 Общих правил определения нормативных затрат.</w:t>
      </w:r>
    </w:p>
    <w:p w14:paraId="200D4FF4">
      <w:pPr>
        <w:pStyle w:val="8"/>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Затраты на приобретение источников бесперебойного питания (З</w:t>
      </w:r>
      <w:r>
        <w:rPr>
          <w:rFonts w:ascii="Times New Roman" w:hAnsi="Times New Roman" w:cs="Times New Roman"/>
          <w:sz w:val="28"/>
          <w:szCs w:val="28"/>
          <w:vertAlign w:val="subscript"/>
        </w:rPr>
        <w:t>ибп</w:t>
      </w:r>
      <w:r>
        <w:rPr>
          <w:rFonts w:ascii="Times New Roman" w:hAnsi="Times New Roman" w:cs="Times New Roman"/>
          <w:sz w:val="28"/>
          <w:szCs w:val="28"/>
        </w:rPr>
        <w:t>) определяются по формуле:</w:t>
      </w:r>
    </w:p>
    <w:p w14:paraId="39C10B0C">
      <w:pPr>
        <w:pStyle w:val="8"/>
        <w:spacing w:line="360" w:lineRule="auto"/>
        <w:ind w:firstLine="567"/>
        <w:jc w:val="center"/>
        <w:rPr>
          <w:rFonts w:ascii="Times New Roman" w:hAnsi="Times New Roman" w:cs="Times New Roman"/>
          <w:sz w:val="28"/>
          <w:szCs w:val="28"/>
        </w:rPr>
      </w:pPr>
      <m:oMath>
        <m:sSub>
          <m:sSubPr>
            <m:ctrlPr>
              <w:rPr>
                <w:rFonts w:ascii="Cambria Math" w:hAnsi="Cambria Math" w:eastAsia="Cambria Math" w:cs="Cambria Math"/>
                <w:i/>
                <w:sz w:val="28"/>
                <w:szCs w:val="28"/>
              </w:rPr>
            </m:ctrlPr>
          </m:sSubPr>
          <m:e>
            <m:r>
              <m:rPr/>
              <w:rPr>
                <w:rFonts w:ascii="Cambria Math" w:hAnsi="Cambria Math" w:eastAsia="Cambria Math" w:cs="Cambria Math"/>
                <w:sz w:val="28"/>
                <w:szCs w:val="28"/>
              </w:rPr>
              <m:t>З</m:t>
            </m:r>
            <m:ctrlPr>
              <w:rPr>
                <w:rFonts w:ascii="Cambria Math" w:hAnsi="Cambria Math" w:eastAsia="Cambria Math" w:cs="Cambria Math"/>
                <w:i/>
                <w:sz w:val="28"/>
                <w:szCs w:val="28"/>
              </w:rPr>
            </m:ctrlPr>
          </m:e>
          <m:sub>
            <m:r>
              <m:rPr/>
              <w:rPr>
                <w:rFonts w:ascii="Cambria Math" w:hAnsi="Cambria Math" w:eastAsia="Cambria Math" w:cs="Cambria Math"/>
                <w:sz w:val="28"/>
                <w:szCs w:val="28"/>
              </w:rPr>
              <m:t>ибп</m:t>
            </m:r>
            <m:ctrlPr>
              <w:rPr>
                <w:rFonts w:ascii="Cambria Math" w:hAnsi="Cambria Math" w:eastAsia="Cambria Math" w:cs="Cambria Math"/>
                <w:i/>
                <w:sz w:val="28"/>
                <w:szCs w:val="28"/>
              </w:rPr>
            </m:ctrlPr>
          </m:sub>
        </m:sSub>
        <m:r>
          <m:rPr/>
          <w:rPr>
            <w:rFonts w:ascii="Cambria Math" w:hAnsi="Cambria Math" w:eastAsia="Cambria Math" w:cs="Cambria Math"/>
            <w:sz w:val="28"/>
            <w:szCs w:val="28"/>
          </w:rPr>
          <m:t>=</m:t>
        </m:r>
        <m:nary>
          <m:naryPr>
            <m:chr m:val="∑"/>
            <m:grow m:val="1"/>
            <m:ctrlPr>
              <w:rPr>
                <w:rFonts w:ascii="Cambria Math" w:hAnsi="Cambria Math" w:cs="Times New Roman"/>
                <w:sz w:val="28"/>
                <w:szCs w:val="28"/>
              </w:rPr>
            </m:ctrlPr>
          </m:naryPr>
          <m:sub>
            <m:r>
              <m:rPr/>
              <w:rPr>
                <w:rFonts w:ascii="Cambria Math" w:hAnsi="Cambria Math" w:eastAsia="Cambria Math" w:cs="Cambria Math"/>
                <w:sz w:val="28"/>
                <w:szCs w:val="28"/>
                <w:lang w:val="en-US"/>
              </w:rPr>
              <m:t>i</m:t>
            </m:r>
            <m:r>
              <m:rPr/>
              <w:rPr>
                <w:rFonts w:ascii="Cambria Math" w:hAnsi="Cambria Math" w:eastAsia="Cambria Math" w:cs="Cambria Math"/>
                <w:sz w:val="28"/>
                <w:szCs w:val="28"/>
              </w:rPr>
              <m:t>=1</m:t>
            </m:r>
            <m:ctrlPr>
              <w:rPr>
                <w:rFonts w:ascii="Cambria Math" w:hAnsi="Cambria Math" w:cs="Times New Roman"/>
                <w:sz w:val="28"/>
                <w:szCs w:val="28"/>
              </w:rPr>
            </m:ctrlPr>
          </m:sub>
          <m:sup>
            <m:r>
              <m:rPr/>
              <w:rPr>
                <w:rFonts w:ascii="Cambria Math" w:hAnsi="Cambria Math" w:eastAsia="Cambria Math" w:cs="Cambria Math"/>
                <w:sz w:val="28"/>
                <w:szCs w:val="28"/>
              </w:rPr>
              <m:t>n</m:t>
            </m:r>
            <m:ctrlPr>
              <w:rPr>
                <w:rFonts w:ascii="Cambria Math" w:hAnsi="Cambria Math" w:cs="Times New Roman"/>
                <w:sz w:val="28"/>
                <w:szCs w:val="28"/>
              </w:rPr>
            </m:ctrlPr>
          </m:sup>
          <m:e>
            <m:sSub>
              <m:sSubPr>
                <m:ctrlPr>
                  <w:rPr>
                    <w:rFonts w:ascii="Cambria Math" w:hAnsi="Cambria Math" w:cs="Times New Roman"/>
                    <w:i/>
                    <w:sz w:val="28"/>
                    <w:szCs w:val="28"/>
                  </w:rPr>
                </m:ctrlPr>
              </m:sSubPr>
              <m:e>
                <m:r>
                  <m:rPr/>
                  <w:rPr>
                    <w:rFonts w:ascii="Cambria Math" w:hAnsi="Cambria Math" w:cs="Times New Roman"/>
                    <w:sz w:val="28"/>
                    <w:szCs w:val="28"/>
                  </w:rPr>
                  <m:t>Q</m:t>
                </m:r>
                <m:ctrlPr>
                  <w:rPr>
                    <w:rFonts w:ascii="Cambria Math" w:hAnsi="Cambria Math" w:cs="Times New Roman"/>
                    <w:i/>
                    <w:sz w:val="28"/>
                    <w:szCs w:val="28"/>
                  </w:rPr>
                </m:ctrlPr>
              </m:e>
              <m:sub>
                <m:r>
                  <m:rPr/>
                  <w:rPr>
                    <w:rFonts w:ascii="Cambria Math" w:hAnsi="Cambria Math" w:cs="Times New Roman"/>
                    <w:sz w:val="28"/>
                    <w:szCs w:val="28"/>
                  </w:rPr>
                  <m:t>iибп</m:t>
                </m:r>
                <m:ctrlPr>
                  <w:rPr>
                    <w:rFonts w:ascii="Cambria Math" w:hAnsi="Cambria Math" w:cs="Times New Roman"/>
                    <w:i/>
                    <w:sz w:val="28"/>
                    <w:szCs w:val="28"/>
                  </w:rPr>
                </m:ctrlPr>
              </m:sub>
            </m:sSub>
            <m:r>
              <m:rPr/>
              <w:rPr>
                <w:rFonts w:ascii="Cambria Math" w:hAnsi="Cambria Math" w:cs="Times New Roman"/>
                <w:sz w:val="28"/>
                <w:szCs w:val="28"/>
              </w:rPr>
              <m:t>×</m:t>
            </m:r>
            <m:sSub>
              <m:sSubPr>
                <m:ctrlPr>
                  <w:rPr>
                    <w:rFonts w:ascii="Cambria Math" w:hAnsi="Cambria Math" w:cs="Times New Roman"/>
                    <w:i/>
                    <w:sz w:val="28"/>
                    <w:szCs w:val="28"/>
                  </w:rPr>
                </m:ctrlPr>
              </m:sSubPr>
              <m:e>
                <m:r>
                  <m:rPr/>
                  <w:rPr>
                    <w:rFonts w:ascii="Cambria Math" w:hAnsi="Cambria Math" w:cs="Times New Roman"/>
                    <w:sz w:val="28"/>
                    <w:szCs w:val="28"/>
                    <w:lang w:val="en-US"/>
                  </w:rPr>
                  <m:t>P</m:t>
                </m:r>
                <m:ctrlPr>
                  <w:rPr>
                    <w:rFonts w:ascii="Cambria Math" w:hAnsi="Cambria Math" w:cs="Times New Roman"/>
                    <w:i/>
                    <w:sz w:val="28"/>
                    <w:szCs w:val="28"/>
                  </w:rPr>
                </m:ctrlPr>
              </m:e>
              <m:sub>
                <m:r>
                  <m:rPr/>
                  <w:rPr>
                    <w:rFonts w:ascii="Cambria Math" w:hAnsi="Cambria Math" w:cs="Times New Roman"/>
                    <w:sz w:val="28"/>
                    <w:szCs w:val="28"/>
                    <w:lang w:val="en-US"/>
                  </w:rPr>
                  <m:t>i</m:t>
                </m:r>
                <m:r>
                  <m:rPr/>
                  <w:rPr>
                    <w:rFonts w:ascii="Cambria Math" w:hAnsi="Cambria Math" w:cs="Times New Roman"/>
                    <w:sz w:val="28"/>
                    <w:szCs w:val="28"/>
                  </w:rPr>
                  <m:t>ибп</m:t>
                </m:r>
                <m:ctrlPr>
                  <w:rPr>
                    <w:rFonts w:ascii="Cambria Math" w:hAnsi="Cambria Math" w:cs="Times New Roman"/>
                    <w:i/>
                    <w:sz w:val="28"/>
                    <w:szCs w:val="28"/>
                  </w:rPr>
                </m:ctrlPr>
              </m:sub>
            </m:sSub>
            <m:ctrlPr>
              <w:rPr>
                <w:rFonts w:ascii="Cambria Math" w:hAnsi="Cambria Math" w:cs="Times New Roman"/>
                <w:sz w:val="28"/>
                <w:szCs w:val="28"/>
              </w:rPr>
            </m:ctrlPr>
          </m:e>
        </m:nary>
      </m:oMath>
      <w:r>
        <w:rPr>
          <w:rFonts w:ascii="Times New Roman" w:hAnsi="Times New Roman" w:cs="Times New Roman"/>
          <w:sz w:val="28"/>
          <w:szCs w:val="28"/>
        </w:rPr>
        <w:t>, где</w:t>
      </w:r>
    </w:p>
    <w:p w14:paraId="3DD1A92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Q</w:t>
      </w:r>
      <w:r>
        <w:rPr>
          <w:rFonts w:ascii="Times New Roman" w:hAnsi="Times New Roman" w:cs="Times New Roman"/>
          <w:sz w:val="28"/>
          <w:szCs w:val="28"/>
          <w:vertAlign w:val="subscript"/>
          <w:lang w:val="en-US"/>
        </w:rPr>
        <w:t>i</w:t>
      </w:r>
      <w:r>
        <w:rPr>
          <w:rFonts w:ascii="Times New Roman" w:hAnsi="Times New Roman" w:cs="Times New Roman"/>
          <w:sz w:val="28"/>
          <w:szCs w:val="28"/>
          <w:vertAlign w:val="subscript"/>
        </w:rPr>
        <w:t xml:space="preserve">ибп </w:t>
      </w:r>
      <w:r>
        <w:rPr>
          <w:rFonts w:ascii="Times New Roman" w:hAnsi="Times New Roman" w:cs="Times New Roman"/>
          <w:sz w:val="28"/>
          <w:szCs w:val="28"/>
        </w:rPr>
        <w:t xml:space="preserve">– количество </w:t>
      </w:r>
      <w:r>
        <w:rPr>
          <w:rFonts w:ascii="Times New Roman" w:hAnsi="Times New Roman" w:cs="Times New Roman"/>
          <w:sz w:val="28"/>
          <w:szCs w:val="28"/>
          <w:lang w:val="en-US"/>
        </w:rPr>
        <w:t>i</w:t>
      </w:r>
      <w:r>
        <w:rPr>
          <w:rFonts w:ascii="Times New Roman" w:hAnsi="Times New Roman" w:cs="Times New Roman"/>
          <w:sz w:val="28"/>
          <w:szCs w:val="28"/>
        </w:rPr>
        <w:t>-ых источников бесперебойного питания;</w:t>
      </w:r>
    </w:p>
    <w:p w14:paraId="2F53C05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en-US"/>
        </w:rPr>
        <w:t>P</w:t>
      </w:r>
      <w:r>
        <w:rPr>
          <w:rFonts w:ascii="Times New Roman" w:hAnsi="Times New Roman" w:cs="Times New Roman"/>
          <w:sz w:val="28"/>
          <w:szCs w:val="28"/>
          <w:vertAlign w:val="subscript"/>
          <w:lang w:val="en-US"/>
        </w:rPr>
        <w:t>i</w:t>
      </w:r>
      <w:r>
        <w:rPr>
          <w:rFonts w:ascii="Times New Roman" w:hAnsi="Times New Roman" w:cs="Times New Roman"/>
          <w:sz w:val="28"/>
          <w:szCs w:val="28"/>
          <w:vertAlign w:val="subscript"/>
        </w:rPr>
        <w:t xml:space="preserve">ибп  </w:t>
      </w:r>
      <w:r>
        <w:rPr>
          <w:rFonts w:ascii="Times New Roman" w:hAnsi="Times New Roman" w:cs="Times New Roman"/>
          <w:sz w:val="28"/>
          <w:szCs w:val="28"/>
        </w:rPr>
        <w:t xml:space="preserve">- цена </w:t>
      </w:r>
      <w:r>
        <w:rPr>
          <w:rFonts w:ascii="Times New Roman" w:hAnsi="Times New Roman" w:cs="Times New Roman"/>
          <w:sz w:val="28"/>
          <w:szCs w:val="28"/>
          <w:lang w:val="en-US"/>
        </w:rPr>
        <w:t>i</w:t>
      </w:r>
      <w:r>
        <w:rPr>
          <w:rFonts w:ascii="Times New Roman" w:hAnsi="Times New Roman" w:cs="Times New Roman"/>
          <w:sz w:val="28"/>
          <w:szCs w:val="28"/>
        </w:rPr>
        <w:t>-того источника бесперебойного питания.</w:t>
      </w:r>
    </w:p>
    <w:p w14:paraId="3B06D51F">
      <w:pPr>
        <w:autoSpaceDE w:val="0"/>
        <w:autoSpaceDN w:val="0"/>
        <w:adjustRightInd w:val="0"/>
        <w:spacing w:after="0" w:line="360" w:lineRule="auto"/>
        <w:ind w:firstLine="709"/>
        <w:jc w:val="both"/>
        <w:rPr>
          <w:rFonts w:ascii="Times New Roman" w:hAnsi="Times New Roman" w:eastAsia="Times New Roman" w:cs="Times New Roman"/>
          <w:sz w:val="28"/>
          <w:szCs w:val="28"/>
          <w:lang w:eastAsia="ru-RU"/>
        </w:rPr>
      </w:pPr>
    </w:p>
    <w:p w14:paraId="102AE859">
      <w:pPr>
        <w:pStyle w:val="8"/>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№13.</w:t>
      </w:r>
    </w:p>
    <w:p w14:paraId="592048E4">
      <w:pPr>
        <w:rPr>
          <w:rFonts w:ascii="Times New Roman" w:hAnsi="Times New Roman" w:eastAsia="Times New Roman" w:cs="Times New Roman"/>
          <w:sz w:val="28"/>
          <w:szCs w:val="28"/>
          <w:lang w:eastAsia="ru-RU"/>
        </w:rPr>
      </w:pPr>
      <w:r>
        <w:rPr>
          <w:rFonts w:ascii="Times New Roman" w:hAnsi="Times New Roman" w:cs="Times New Roman"/>
          <w:sz w:val="28"/>
          <w:szCs w:val="28"/>
        </w:rPr>
        <w:br w:type="page"/>
      </w:r>
    </w:p>
    <w:p w14:paraId="31B651E6">
      <w:pPr>
        <w:pStyle w:val="8"/>
        <w:spacing w:line="360" w:lineRule="auto"/>
        <w:ind w:firstLine="709"/>
        <w:jc w:val="both"/>
        <w:rPr>
          <w:rFonts w:ascii="Times New Roman" w:hAnsi="Times New Roman" w:cs="Times New Roman"/>
          <w:sz w:val="28"/>
          <w:szCs w:val="28"/>
        </w:rPr>
        <w:sectPr>
          <w:pgSz w:w="11906" w:h="16838"/>
          <w:pgMar w:top="1418" w:right="567" w:bottom="1134" w:left="1588" w:header="567" w:footer="709" w:gutter="0"/>
          <w:cols w:space="708" w:num="1"/>
          <w:titlePg/>
          <w:docGrid w:linePitch="360" w:charSpace="0"/>
        </w:sectPr>
      </w:pPr>
    </w:p>
    <w:p w14:paraId="7E506269">
      <w:pPr>
        <w:widowControl w:val="0"/>
        <w:autoSpaceDE w:val="0"/>
        <w:autoSpaceDN w:val="0"/>
        <w:adjustRightInd w:val="0"/>
        <w:spacing w:after="0" w:line="360" w:lineRule="auto"/>
        <w:ind w:right="-456" w:firstLine="709"/>
        <w:jc w:val="right"/>
        <w:rPr>
          <w:rFonts w:ascii="Times New Roman" w:hAnsi="Times New Roman" w:cs="Times New Roman"/>
          <w:sz w:val="28"/>
          <w:szCs w:val="28"/>
        </w:rPr>
      </w:pPr>
      <w:r>
        <w:rPr>
          <w:rFonts w:ascii="Times New Roman" w:hAnsi="Times New Roman" w:cs="Times New Roman"/>
          <w:sz w:val="28"/>
          <w:szCs w:val="28"/>
        </w:rPr>
        <w:t>Таблица №13</w:t>
      </w:r>
    </w:p>
    <w:p w14:paraId="6CDC4483">
      <w:pPr>
        <w:widowControl w:val="0"/>
        <w:autoSpaceDE w:val="0"/>
        <w:autoSpaceDN w:val="0"/>
        <w:adjustRightInd w:val="0"/>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рабочих станций (персональные настольные компьютеры) и источников бесперебойного питания</w:t>
      </w:r>
    </w:p>
    <w:tbl>
      <w:tblPr>
        <w:tblStyle w:val="3"/>
        <w:tblW w:w="15134" w:type="dxa"/>
        <w:tblInd w:w="0" w:type="dxa"/>
        <w:tblLayout w:type="fixed"/>
        <w:tblCellMar>
          <w:top w:w="0" w:type="dxa"/>
          <w:left w:w="108" w:type="dxa"/>
          <w:bottom w:w="0" w:type="dxa"/>
          <w:right w:w="108" w:type="dxa"/>
        </w:tblCellMar>
      </w:tblPr>
      <w:tblGrid>
        <w:gridCol w:w="2383"/>
        <w:gridCol w:w="1836"/>
        <w:gridCol w:w="1843"/>
        <w:gridCol w:w="1701"/>
        <w:gridCol w:w="2126"/>
        <w:gridCol w:w="1701"/>
        <w:gridCol w:w="1701"/>
        <w:gridCol w:w="1843"/>
      </w:tblGrid>
      <w:tr w14:paraId="3E9F1CA1">
        <w:tblPrEx>
          <w:tblCellMar>
            <w:top w:w="0" w:type="dxa"/>
            <w:left w:w="108" w:type="dxa"/>
            <w:bottom w:w="0" w:type="dxa"/>
            <w:right w:w="108" w:type="dxa"/>
          </w:tblCellMar>
        </w:tblPrEx>
        <w:trPr>
          <w:trHeight w:val="529" w:hRule="atLeast"/>
        </w:trPr>
        <w:tc>
          <w:tcPr>
            <w:tcW w:w="2383" w:type="dxa"/>
            <w:vMerge w:val="restart"/>
            <w:tcBorders>
              <w:top w:val="single" w:color="auto" w:sz="4" w:space="0"/>
              <w:left w:val="single" w:color="auto" w:sz="4" w:space="0"/>
              <w:bottom w:val="single" w:color="auto" w:sz="4" w:space="0"/>
              <w:right w:val="single" w:color="auto" w:sz="4" w:space="0"/>
            </w:tcBorders>
          </w:tcPr>
          <w:p w14:paraId="593D44DB">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7506" w:type="dxa"/>
            <w:gridSpan w:val="4"/>
            <w:tcBorders>
              <w:top w:val="single" w:color="auto" w:sz="4" w:space="0"/>
              <w:left w:val="single" w:color="auto" w:sz="4" w:space="0"/>
              <w:bottom w:val="single" w:color="auto" w:sz="4" w:space="0"/>
              <w:right w:val="single" w:color="auto" w:sz="4" w:space="0"/>
            </w:tcBorders>
            <w:shd w:val="clear" w:color="auto" w:fill="auto"/>
          </w:tcPr>
          <w:p w14:paraId="1E877BB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c>
          <w:tcPr>
            <w:tcW w:w="5245" w:type="dxa"/>
            <w:gridSpan w:val="3"/>
            <w:tcBorders>
              <w:top w:val="single" w:color="auto" w:sz="4" w:space="0"/>
              <w:left w:val="single" w:color="auto" w:sz="4" w:space="0"/>
              <w:bottom w:val="single" w:color="auto" w:sz="4" w:space="0"/>
              <w:right w:val="single" w:color="auto" w:sz="4" w:space="0"/>
            </w:tcBorders>
            <w:shd w:val="clear" w:color="auto" w:fill="auto"/>
          </w:tcPr>
          <w:p w14:paraId="4EA22CD7">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Подведомственное учреждение Кировское областное государственное казенное учреждение «Агентство инвестиционного развития Кировской области» </w:t>
            </w:r>
          </w:p>
        </w:tc>
      </w:tr>
      <w:tr w14:paraId="4F378CD5">
        <w:tblPrEx>
          <w:tblCellMar>
            <w:top w:w="0" w:type="dxa"/>
            <w:left w:w="108" w:type="dxa"/>
            <w:bottom w:w="0" w:type="dxa"/>
            <w:right w:w="108" w:type="dxa"/>
          </w:tblCellMar>
        </w:tblPrEx>
        <w:trPr>
          <w:trHeight w:val="321" w:hRule="atLeast"/>
        </w:trPr>
        <w:tc>
          <w:tcPr>
            <w:tcW w:w="2383" w:type="dxa"/>
            <w:vMerge w:val="continue"/>
            <w:tcBorders>
              <w:top w:val="single" w:color="auto" w:sz="4" w:space="0"/>
              <w:left w:val="single" w:color="auto" w:sz="4" w:space="0"/>
              <w:bottom w:val="single" w:color="auto" w:sz="4" w:space="0"/>
              <w:right w:val="single" w:color="auto" w:sz="4" w:space="0"/>
            </w:tcBorders>
          </w:tcPr>
          <w:p w14:paraId="791A353C">
            <w:pPr>
              <w:spacing w:after="0" w:line="240" w:lineRule="auto"/>
              <w:ind w:left="-113" w:right="-88"/>
              <w:jc w:val="center"/>
              <w:rPr>
                <w:rFonts w:ascii="Times New Roman" w:hAnsi="Times New Roman" w:cs="Times New Roman"/>
                <w:sz w:val="18"/>
                <w:szCs w:val="18"/>
              </w:rPr>
            </w:pPr>
          </w:p>
        </w:tc>
        <w:tc>
          <w:tcPr>
            <w:tcW w:w="3679" w:type="dxa"/>
            <w:gridSpan w:val="2"/>
            <w:tcBorders>
              <w:top w:val="single" w:color="auto" w:sz="4" w:space="0"/>
              <w:left w:val="single" w:color="auto" w:sz="4" w:space="0"/>
              <w:bottom w:val="single" w:color="auto" w:sz="4" w:space="0"/>
              <w:right w:val="single" w:color="auto" w:sz="4" w:space="0"/>
            </w:tcBorders>
            <w:shd w:val="clear" w:color="auto" w:fill="auto"/>
          </w:tcPr>
          <w:p w14:paraId="7D793C73">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701" w:type="dxa"/>
            <w:vMerge w:val="restart"/>
            <w:tcBorders>
              <w:top w:val="single" w:color="auto" w:sz="4" w:space="0"/>
              <w:left w:val="single" w:color="auto" w:sz="4" w:space="0"/>
              <w:bottom w:val="single" w:color="auto" w:sz="4" w:space="0"/>
              <w:right w:val="single" w:color="auto" w:sz="4" w:space="0"/>
            </w:tcBorders>
            <w:shd w:val="clear" w:color="auto" w:fill="auto"/>
          </w:tcPr>
          <w:p w14:paraId="2F10F925">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2126" w:type="dxa"/>
            <w:vMerge w:val="restart"/>
            <w:tcBorders>
              <w:top w:val="single" w:color="auto" w:sz="4" w:space="0"/>
              <w:left w:val="single" w:color="auto" w:sz="4" w:space="0"/>
              <w:right w:val="single" w:color="auto" w:sz="4" w:space="0"/>
            </w:tcBorders>
            <w:shd w:val="clear" w:color="auto" w:fill="auto"/>
          </w:tcPr>
          <w:p w14:paraId="3932D38A">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c>
          <w:tcPr>
            <w:tcW w:w="3402" w:type="dxa"/>
            <w:gridSpan w:val="2"/>
            <w:tcBorders>
              <w:top w:val="single" w:color="auto" w:sz="4" w:space="0"/>
              <w:left w:val="single" w:color="auto" w:sz="4" w:space="0"/>
              <w:bottom w:val="single" w:color="auto" w:sz="4" w:space="0"/>
              <w:right w:val="single" w:color="auto" w:sz="4" w:space="0"/>
            </w:tcBorders>
            <w:shd w:val="clear" w:color="auto" w:fill="auto"/>
          </w:tcPr>
          <w:p w14:paraId="6DEA1977">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843" w:type="dxa"/>
            <w:vMerge w:val="restart"/>
            <w:tcBorders>
              <w:top w:val="single" w:color="auto" w:sz="4" w:space="0"/>
              <w:left w:val="single" w:color="auto" w:sz="4" w:space="0"/>
              <w:right w:val="single" w:color="auto" w:sz="4" w:space="0"/>
            </w:tcBorders>
            <w:shd w:val="clear" w:color="auto" w:fill="auto"/>
          </w:tcPr>
          <w:p w14:paraId="48DFDD3F">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14:paraId="07786AC3">
        <w:tblPrEx>
          <w:tblCellMar>
            <w:top w:w="0" w:type="dxa"/>
            <w:left w:w="108" w:type="dxa"/>
            <w:bottom w:w="0" w:type="dxa"/>
            <w:right w:w="108" w:type="dxa"/>
          </w:tblCellMar>
        </w:tblPrEx>
        <w:trPr>
          <w:trHeight w:val="699" w:hRule="atLeast"/>
        </w:trPr>
        <w:tc>
          <w:tcPr>
            <w:tcW w:w="2383" w:type="dxa"/>
            <w:vMerge w:val="continue"/>
            <w:tcBorders>
              <w:top w:val="single" w:color="auto" w:sz="4" w:space="0"/>
              <w:left w:val="single" w:color="auto" w:sz="4" w:space="0"/>
              <w:bottom w:val="single" w:color="auto" w:sz="4" w:space="0"/>
              <w:right w:val="single" w:color="auto" w:sz="4" w:space="0"/>
            </w:tcBorders>
          </w:tcPr>
          <w:p w14:paraId="2122A424">
            <w:pPr>
              <w:spacing w:after="0" w:line="240" w:lineRule="auto"/>
              <w:ind w:left="-113" w:right="-88"/>
              <w:jc w:val="center"/>
              <w:rPr>
                <w:rFonts w:ascii="Times New Roman" w:hAnsi="Times New Roman" w:cs="Times New Roman"/>
                <w:sz w:val="18"/>
                <w:szCs w:val="18"/>
              </w:rPr>
            </w:pPr>
          </w:p>
        </w:tc>
        <w:tc>
          <w:tcPr>
            <w:tcW w:w="1836" w:type="dxa"/>
            <w:tcBorders>
              <w:top w:val="single" w:color="auto" w:sz="4" w:space="0"/>
              <w:left w:val="single" w:color="auto" w:sz="4" w:space="0"/>
              <w:bottom w:val="single" w:color="auto" w:sz="4" w:space="0"/>
              <w:right w:val="single" w:color="auto" w:sz="4" w:space="0"/>
            </w:tcBorders>
            <w:shd w:val="clear" w:color="auto" w:fill="auto"/>
          </w:tcPr>
          <w:p w14:paraId="48FFCDF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188D9B95">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701" w:type="dxa"/>
            <w:vMerge w:val="continue"/>
            <w:tcBorders>
              <w:top w:val="single" w:color="auto" w:sz="4" w:space="0"/>
              <w:left w:val="single" w:color="auto" w:sz="4" w:space="0"/>
              <w:bottom w:val="single" w:color="auto" w:sz="4" w:space="0"/>
              <w:right w:val="single" w:color="auto" w:sz="4" w:space="0"/>
            </w:tcBorders>
            <w:shd w:val="clear" w:color="auto" w:fill="auto"/>
          </w:tcPr>
          <w:p w14:paraId="0B96599B">
            <w:pPr>
              <w:spacing w:after="0" w:line="240" w:lineRule="auto"/>
              <w:ind w:left="-113" w:right="-88"/>
              <w:jc w:val="center"/>
              <w:rPr>
                <w:rFonts w:ascii="Times New Roman" w:hAnsi="Times New Roman" w:cs="Times New Roman"/>
                <w:sz w:val="18"/>
                <w:szCs w:val="18"/>
              </w:rPr>
            </w:pPr>
          </w:p>
        </w:tc>
        <w:tc>
          <w:tcPr>
            <w:tcW w:w="2126" w:type="dxa"/>
            <w:vMerge w:val="continue"/>
            <w:tcBorders>
              <w:left w:val="single" w:color="auto" w:sz="4" w:space="0"/>
              <w:bottom w:val="single" w:color="auto" w:sz="4" w:space="0"/>
              <w:right w:val="single" w:color="auto" w:sz="4" w:space="0"/>
            </w:tcBorders>
          </w:tcPr>
          <w:p w14:paraId="21F844CF">
            <w:pPr>
              <w:spacing w:after="0" w:line="240" w:lineRule="auto"/>
              <w:ind w:left="-113" w:right="-88"/>
              <w:jc w:val="center"/>
              <w:rPr>
                <w:rFonts w:ascii="Times New Roman" w:hAnsi="Times New Roman" w:cs="Times New Roman"/>
                <w:sz w:val="18"/>
                <w:szCs w:val="18"/>
              </w:rPr>
            </w:pPr>
          </w:p>
        </w:tc>
        <w:tc>
          <w:tcPr>
            <w:tcW w:w="1701" w:type="dxa"/>
            <w:tcBorders>
              <w:top w:val="single" w:color="auto" w:sz="4" w:space="0"/>
              <w:left w:val="single" w:color="auto" w:sz="4" w:space="0"/>
              <w:bottom w:val="single" w:color="auto" w:sz="4" w:space="0"/>
              <w:right w:val="single" w:color="auto" w:sz="4" w:space="0"/>
            </w:tcBorders>
            <w:shd w:val="clear" w:color="auto" w:fill="auto"/>
          </w:tcPr>
          <w:p w14:paraId="4C748733">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701" w:type="dxa"/>
            <w:tcBorders>
              <w:top w:val="single" w:color="auto" w:sz="4" w:space="0"/>
              <w:left w:val="single" w:color="auto" w:sz="4" w:space="0"/>
              <w:bottom w:val="single" w:color="auto" w:sz="4" w:space="0"/>
              <w:right w:val="single" w:color="auto" w:sz="4" w:space="0"/>
            </w:tcBorders>
            <w:shd w:val="clear" w:color="auto" w:fill="auto"/>
          </w:tcPr>
          <w:p w14:paraId="2D738CBD">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843" w:type="dxa"/>
            <w:vMerge w:val="continue"/>
            <w:tcBorders>
              <w:left w:val="single" w:color="auto" w:sz="4" w:space="0"/>
              <w:bottom w:val="single" w:color="auto" w:sz="4" w:space="0"/>
              <w:right w:val="single" w:color="auto" w:sz="4" w:space="0"/>
            </w:tcBorders>
            <w:shd w:val="clear" w:color="auto" w:fill="auto"/>
          </w:tcPr>
          <w:p w14:paraId="44EB0700">
            <w:pPr>
              <w:spacing w:after="0" w:line="240" w:lineRule="auto"/>
              <w:ind w:left="-113" w:right="-88"/>
              <w:jc w:val="center"/>
              <w:rPr>
                <w:rFonts w:ascii="Times New Roman" w:hAnsi="Times New Roman" w:cs="Times New Roman"/>
                <w:sz w:val="18"/>
                <w:szCs w:val="18"/>
              </w:rPr>
            </w:pPr>
          </w:p>
        </w:tc>
      </w:tr>
      <w:tr w14:paraId="361B3316">
        <w:tblPrEx>
          <w:tblCellMar>
            <w:top w:w="0" w:type="dxa"/>
            <w:left w:w="108" w:type="dxa"/>
            <w:bottom w:w="0" w:type="dxa"/>
            <w:right w:w="108" w:type="dxa"/>
          </w:tblCellMar>
        </w:tblPrEx>
        <w:trPr>
          <w:trHeight w:val="137" w:hRule="atLeast"/>
        </w:trPr>
        <w:tc>
          <w:tcPr>
            <w:tcW w:w="2383" w:type="dxa"/>
            <w:tcBorders>
              <w:top w:val="single" w:color="auto" w:sz="4" w:space="0"/>
              <w:left w:val="single" w:color="auto" w:sz="4" w:space="0"/>
              <w:bottom w:val="single" w:color="auto" w:sz="4" w:space="0"/>
              <w:right w:val="single" w:color="auto" w:sz="4" w:space="0"/>
            </w:tcBorders>
          </w:tcPr>
          <w:p w14:paraId="31A4739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36" w:type="dxa"/>
            <w:tcBorders>
              <w:top w:val="single" w:color="auto" w:sz="4" w:space="0"/>
              <w:left w:val="single" w:color="auto" w:sz="4" w:space="0"/>
              <w:bottom w:val="single" w:color="auto" w:sz="4" w:space="0"/>
              <w:right w:val="single" w:color="auto" w:sz="4" w:space="0"/>
            </w:tcBorders>
            <w:shd w:val="clear" w:color="auto" w:fill="auto"/>
          </w:tcPr>
          <w:p w14:paraId="0CF2220C">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4010EBD1">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701" w:type="dxa"/>
            <w:tcBorders>
              <w:top w:val="single" w:color="auto" w:sz="4" w:space="0"/>
              <w:left w:val="single" w:color="auto" w:sz="4" w:space="0"/>
              <w:bottom w:val="single" w:color="auto" w:sz="4" w:space="0"/>
              <w:right w:val="single" w:color="auto" w:sz="4" w:space="0"/>
            </w:tcBorders>
          </w:tcPr>
          <w:p w14:paraId="6433996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2126" w:type="dxa"/>
            <w:tcBorders>
              <w:top w:val="single" w:color="auto" w:sz="4" w:space="0"/>
              <w:left w:val="single" w:color="auto" w:sz="4" w:space="0"/>
              <w:bottom w:val="single" w:color="auto" w:sz="4" w:space="0"/>
              <w:right w:val="single" w:color="auto" w:sz="4" w:space="0"/>
            </w:tcBorders>
          </w:tcPr>
          <w:p w14:paraId="2A8FD9A8">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1701" w:type="dxa"/>
            <w:tcBorders>
              <w:top w:val="single" w:color="auto" w:sz="4" w:space="0"/>
              <w:left w:val="single" w:color="auto" w:sz="4" w:space="0"/>
              <w:bottom w:val="single" w:color="auto" w:sz="4" w:space="0"/>
              <w:right w:val="single" w:color="auto" w:sz="4" w:space="0"/>
            </w:tcBorders>
            <w:shd w:val="clear" w:color="auto" w:fill="auto"/>
          </w:tcPr>
          <w:p w14:paraId="6B9DDD71">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6</w:t>
            </w:r>
          </w:p>
        </w:tc>
        <w:tc>
          <w:tcPr>
            <w:tcW w:w="1701" w:type="dxa"/>
            <w:tcBorders>
              <w:top w:val="single" w:color="auto" w:sz="4" w:space="0"/>
              <w:left w:val="single" w:color="auto" w:sz="4" w:space="0"/>
              <w:bottom w:val="single" w:color="auto" w:sz="4" w:space="0"/>
              <w:right w:val="single" w:color="auto" w:sz="4" w:space="0"/>
            </w:tcBorders>
            <w:shd w:val="clear" w:color="auto" w:fill="auto"/>
          </w:tcPr>
          <w:p w14:paraId="224528F8">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7</w:t>
            </w:r>
          </w:p>
        </w:tc>
        <w:tc>
          <w:tcPr>
            <w:tcW w:w="1843" w:type="dxa"/>
            <w:tcBorders>
              <w:top w:val="single" w:color="auto" w:sz="4" w:space="0"/>
              <w:left w:val="single" w:color="auto" w:sz="4" w:space="0"/>
              <w:bottom w:val="single" w:color="auto" w:sz="4" w:space="0"/>
              <w:right w:val="single" w:color="auto" w:sz="4" w:space="0"/>
            </w:tcBorders>
          </w:tcPr>
          <w:p w14:paraId="524181B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8</w:t>
            </w:r>
          </w:p>
        </w:tc>
      </w:tr>
      <w:tr w14:paraId="3F4DAE82">
        <w:tblPrEx>
          <w:tblCellMar>
            <w:top w:w="0" w:type="dxa"/>
            <w:left w:w="108" w:type="dxa"/>
            <w:bottom w:w="0" w:type="dxa"/>
            <w:right w:w="108" w:type="dxa"/>
          </w:tblCellMar>
        </w:tblPrEx>
        <w:trPr>
          <w:trHeight w:val="137" w:hRule="atLeast"/>
        </w:trPr>
        <w:tc>
          <w:tcPr>
            <w:tcW w:w="2383" w:type="dxa"/>
            <w:tcBorders>
              <w:top w:val="single" w:color="auto" w:sz="4" w:space="0"/>
              <w:left w:val="single" w:color="auto" w:sz="4" w:space="0"/>
              <w:bottom w:val="single" w:color="auto" w:sz="4" w:space="0"/>
              <w:right w:val="single" w:color="auto" w:sz="4" w:space="0"/>
            </w:tcBorders>
          </w:tcPr>
          <w:p w14:paraId="4C839D65">
            <w:pPr>
              <w:spacing w:after="0" w:line="240" w:lineRule="auto"/>
              <w:ind w:right="-88"/>
              <w:rPr>
                <w:rFonts w:ascii="Times New Roman" w:hAnsi="Times New Roman" w:cs="Times New Roman"/>
                <w:b/>
                <w:sz w:val="18"/>
                <w:szCs w:val="18"/>
              </w:rPr>
            </w:pPr>
            <w:r>
              <w:rPr>
                <w:rFonts w:ascii="Times New Roman" w:hAnsi="Times New Roman" w:cs="Times New Roman"/>
                <w:sz w:val="18"/>
                <w:szCs w:val="18"/>
              </w:rPr>
              <w:t xml:space="preserve"> </w:t>
            </w:r>
            <w:r>
              <w:rPr>
                <w:rFonts w:ascii="Times New Roman" w:hAnsi="Times New Roman" w:cs="Times New Roman"/>
                <w:b/>
                <w:sz w:val="18"/>
                <w:szCs w:val="18"/>
              </w:rPr>
              <w:t>Рабочие станции (персональные настольные компьютеры)</w:t>
            </w:r>
          </w:p>
        </w:tc>
        <w:tc>
          <w:tcPr>
            <w:tcW w:w="1836" w:type="dxa"/>
            <w:tcBorders>
              <w:top w:val="single" w:color="auto" w:sz="4" w:space="0"/>
              <w:left w:val="single" w:color="auto" w:sz="4" w:space="0"/>
              <w:bottom w:val="single" w:color="auto" w:sz="4" w:space="0"/>
              <w:right w:val="single" w:color="auto" w:sz="4" w:space="0"/>
            </w:tcBorders>
            <w:shd w:val="clear" w:color="auto" w:fill="auto"/>
          </w:tcPr>
          <w:p w14:paraId="703A13B0">
            <w:pPr>
              <w:spacing w:after="0" w:line="240" w:lineRule="auto"/>
              <w:ind w:left="-113" w:right="-88"/>
              <w:rPr>
                <w:rFonts w:ascii="Times New Roman" w:hAnsi="Times New Roman" w:cs="Times New Roman"/>
                <w:sz w:val="18"/>
                <w:szCs w:val="18"/>
              </w:rPr>
            </w:pP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7F124BA2">
            <w:pPr>
              <w:spacing w:after="0" w:line="240" w:lineRule="auto"/>
              <w:ind w:left="-113" w:right="-88"/>
              <w:jc w:val="center"/>
              <w:rPr>
                <w:rFonts w:ascii="Times New Roman" w:hAnsi="Times New Roman" w:cs="Times New Roman"/>
                <w:sz w:val="18"/>
                <w:szCs w:val="18"/>
              </w:rPr>
            </w:pPr>
          </w:p>
        </w:tc>
        <w:tc>
          <w:tcPr>
            <w:tcW w:w="1701" w:type="dxa"/>
            <w:tcBorders>
              <w:top w:val="single" w:color="auto" w:sz="4" w:space="0"/>
              <w:left w:val="single" w:color="auto" w:sz="4" w:space="0"/>
              <w:bottom w:val="single" w:color="auto" w:sz="4" w:space="0"/>
              <w:right w:val="single" w:color="auto" w:sz="4" w:space="0"/>
            </w:tcBorders>
          </w:tcPr>
          <w:p w14:paraId="7BEC7A10">
            <w:pPr>
              <w:spacing w:after="0" w:line="240" w:lineRule="auto"/>
              <w:ind w:left="-113" w:right="-88"/>
              <w:jc w:val="center"/>
              <w:rPr>
                <w:rFonts w:ascii="Times New Roman" w:hAnsi="Times New Roman" w:cs="Times New Roman"/>
                <w:sz w:val="18"/>
                <w:szCs w:val="18"/>
              </w:rPr>
            </w:pPr>
          </w:p>
        </w:tc>
        <w:tc>
          <w:tcPr>
            <w:tcW w:w="2126" w:type="dxa"/>
            <w:tcBorders>
              <w:top w:val="single" w:color="auto" w:sz="4" w:space="0"/>
              <w:left w:val="single" w:color="auto" w:sz="4" w:space="0"/>
              <w:bottom w:val="single" w:color="auto" w:sz="4" w:space="0"/>
              <w:right w:val="single" w:color="auto" w:sz="4" w:space="0"/>
            </w:tcBorders>
          </w:tcPr>
          <w:p w14:paraId="3A13AD87">
            <w:pPr>
              <w:spacing w:after="0" w:line="240" w:lineRule="auto"/>
              <w:ind w:left="-113" w:right="-88"/>
              <w:jc w:val="center"/>
              <w:rPr>
                <w:rFonts w:ascii="Times New Roman" w:hAnsi="Times New Roman" w:cs="Times New Roman"/>
                <w:sz w:val="18"/>
                <w:szCs w:val="18"/>
              </w:rPr>
            </w:pPr>
          </w:p>
        </w:tc>
        <w:tc>
          <w:tcPr>
            <w:tcW w:w="1701" w:type="dxa"/>
            <w:tcBorders>
              <w:top w:val="single" w:color="auto" w:sz="4" w:space="0"/>
              <w:left w:val="single" w:color="auto" w:sz="4" w:space="0"/>
              <w:bottom w:val="single" w:color="auto" w:sz="4" w:space="0"/>
              <w:right w:val="single" w:color="auto" w:sz="4" w:space="0"/>
            </w:tcBorders>
            <w:shd w:val="clear" w:color="auto" w:fill="auto"/>
          </w:tcPr>
          <w:p w14:paraId="1FF4D54F">
            <w:pPr>
              <w:spacing w:after="0" w:line="240" w:lineRule="auto"/>
              <w:ind w:left="-113" w:right="-88"/>
              <w:jc w:val="center"/>
              <w:rPr>
                <w:rFonts w:ascii="Times New Roman" w:hAnsi="Times New Roman" w:cs="Times New Roman"/>
                <w:sz w:val="18"/>
                <w:szCs w:val="18"/>
              </w:rPr>
            </w:pPr>
          </w:p>
        </w:tc>
        <w:tc>
          <w:tcPr>
            <w:tcW w:w="1701" w:type="dxa"/>
            <w:tcBorders>
              <w:top w:val="single" w:color="auto" w:sz="4" w:space="0"/>
              <w:left w:val="single" w:color="auto" w:sz="4" w:space="0"/>
              <w:bottom w:val="single" w:color="auto" w:sz="4" w:space="0"/>
              <w:right w:val="single" w:color="auto" w:sz="4" w:space="0"/>
            </w:tcBorders>
            <w:shd w:val="clear" w:color="auto" w:fill="auto"/>
          </w:tcPr>
          <w:p w14:paraId="0EA7F332">
            <w:pPr>
              <w:spacing w:after="0" w:line="240" w:lineRule="auto"/>
              <w:ind w:left="-113" w:right="-88"/>
              <w:jc w:val="center"/>
              <w:rPr>
                <w:rFonts w:ascii="Times New Roman" w:hAnsi="Times New Roman" w:cs="Times New Roman"/>
                <w:sz w:val="18"/>
                <w:szCs w:val="18"/>
              </w:rPr>
            </w:pPr>
          </w:p>
        </w:tc>
        <w:tc>
          <w:tcPr>
            <w:tcW w:w="1843" w:type="dxa"/>
            <w:tcBorders>
              <w:top w:val="single" w:color="auto" w:sz="4" w:space="0"/>
              <w:left w:val="single" w:color="auto" w:sz="4" w:space="0"/>
              <w:bottom w:val="single" w:color="auto" w:sz="4" w:space="0"/>
              <w:right w:val="single" w:color="auto" w:sz="4" w:space="0"/>
            </w:tcBorders>
          </w:tcPr>
          <w:p w14:paraId="5C29812E">
            <w:pPr>
              <w:spacing w:after="0" w:line="240" w:lineRule="auto"/>
              <w:ind w:left="-113" w:right="-88"/>
              <w:jc w:val="center"/>
              <w:rPr>
                <w:rFonts w:ascii="Times New Roman" w:hAnsi="Times New Roman" w:cs="Times New Roman"/>
                <w:sz w:val="18"/>
                <w:szCs w:val="18"/>
              </w:rPr>
            </w:pPr>
          </w:p>
        </w:tc>
      </w:tr>
      <w:tr w14:paraId="596714CD">
        <w:tblPrEx>
          <w:tblCellMar>
            <w:top w:w="0" w:type="dxa"/>
            <w:left w:w="108" w:type="dxa"/>
            <w:bottom w:w="0" w:type="dxa"/>
            <w:right w:w="108" w:type="dxa"/>
          </w:tblCellMar>
        </w:tblPrEx>
        <w:trPr>
          <w:trHeight w:val="137" w:hRule="atLeast"/>
        </w:trPr>
        <w:tc>
          <w:tcPr>
            <w:tcW w:w="2383" w:type="dxa"/>
            <w:tcBorders>
              <w:top w:val="single" w:color="auto" w:sz="4" w:space="0"/>
              <w:left w:val="single" w:color="auto" w:sz="4" w:space="0"/>
              <w:bottom w:val="single" w:color="auto" w:sz="4" w:space="0"/>
              <w:right w:val="single" w:color="auto" w:sz="4" w:space="0"/>
            </w:tcBorders>
          </w:tcPr>
          <w:p w14:paraId="222C812D">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 в год</w:t>
            </w:r>
          </w:p>
        </w:tc>
        <w:tc>
          <w:tcPr>
            <w:tcW w:w="1836" w:type="dxa"/>
            <w:tcBorders>
              <w:top w:val="single" w:color="auto" w:sz="4" w:space="0"/>
              <w:left w:val="single" w:color="auto" w:sz="4" w:space="0"/>
              <w:bottom w:val="single" w:color="auto" w:sz="4" w:space="0"/>
              <w:right w:val="single" w:color="auto" w:sz="4" w:space="0"/>
            </w:tcBorders>
            <w:shd w:val="clear" w:color="auto" w:fill="auto"/>
          </w:tcPr>
          <w:p w14:paraId="20646DEC">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47D9B0A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701" w:type="dxa"/>
            <w:tcBorders>
              <w:top w:val="single" w:color="auto" w:sz="4" w:space="0"/>
              <w:left w:val="single" w:color="auto" w:sz="4" w:space="0"/>
              <w:bottom w:val="single" w:color="auto" w:sz="4" w:space="0"/>
              <w:right w:val="single" w:color="auto" w:sz="4" w:space="0"/>
            </w:tcBorders>
          </w:tcPr>
          <w:p w14:paraId="055AE02C">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126" w:type="dxa"/>
            <w:tcBorders>
              <w:top w:val="single" w:color="auto" w:sz="4" w:space="0"/>
              <w:left w:val="single" w:color="auto" w:sz="4" w:space="0"/>
              <w:bottom w:val="single" w:color="auto" w:sz="4" w:space="0"/>
              <w:right w:val="single" w:color="auto" w:sz="4" w:space="0"/>
            </w:tcBorders>
          </w:tcPr>
          <w:p w14:paraId="0A56A1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701" w:type="dxa"/>
            <w:tcBorders>
              <w:top w:val="single" w:color="auto" w:sz="4" w:space="0"/>
              <w:left w:val="single" w:color="auto" w:sz="4" w:space="0"/>
              <w:bottom w:val="single" w:color="auto" w:sz="4" w:space="0"/>
              <w:right w:val="single" w:color="auto" w:sz="4" w:space="0"/>
            </w:tcBorders>
            <w:shd w:val="clear" w:color="auto" w:fill="auto"/>
          </w:tcPr>
          <w:p w14:paraId="388CB01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 на сотрудника</w:t>
            </w:r>
          </w:p>
        </w:tc>
        <w:tc>
          <w:tcPr>
            <w:tcW w:w="1701" w:type="dxa"/>
            <w:tcBorders>
              <w:top w:val="single" w:color="auto" w:sz="4" w:space="0"/>
              <w:left w:val="single" w:color="auto" w:sz="4" w:space="0"/>
              <w:bottom w:val="single" w:color="auto" w:sz="4" w:space="0"/>
              <w:right w:val="single" w:color="auto" w:sz="4" w:space="0"/>
            </w:tcBorders>
            <w:shd w:val="clear" w:color="auto" w:fill="auto"/>
          </w:tcPr>
          <w:p w14:paraId="084C5885">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 на сотрудника</w:t>
            </w:r>
          </w:p>
        </w:tc>
        <w:tc>
          <w:tcPr>
            <w:tcW w:w="1843" w:type="dxa"/>
            <w:tcBorders>
              <w:top w:val="single" w:color="auto" w:sz="4" w:space="0"/>
              <w:left w:val="single" w:color="auto" w:sz="4" w:space="0"/>
              <w:bottom w:val="single" w:color="auto" w:sz="4" w:space="0"/>
              <w:right w:val="single" w:color="auto" w:sz="4" w:space="0"/>
            </w:tcBorders>
          </w:tcPr>
          <w:p w14:paraId="73ECAAF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 на учреждение</w:t>
            </w:r>
          </w:p>
        </w:tc>
      </w:tr>
      <w:tr w14:paraId="07F7785A">
        <w:tblPrEx>
          <w:tblCellMar>
            <w:top w:w="0" w:type="dxa"/>
            <w:left w:w="108" w:type="dxa"/>
            <w:bottom w:w="0" w:type="dxa"/>
            <w:right w:w="108" w:type="dxa"/>
          </w:tblCellMar>
        </w:tblPrEx>
        <w:trPr>
          <w:trHeight w:val="137" w:hRule="atLeast"/>
        </w:trPr>
        <w:tc>
          <w:tcPr>
            <w:tcW w:w="2383" w:type="dxa"/>
            <w:tcBorders>
              <w:top w:val="single" w:color="auto" w:sz="4" w:space="0"/>
              <w:left w:val="single" w:color="auto" w:sz="4" w:space="0"/>
              <w:bottom w:val="single" w:color="auto" w:sz="4" w:space="0"/>
              <w:right w:val="single" w:color="auto" w:sz="4" w:space="0"/>
            </w:tcBorders>
          </w:tcPr>
          <w:p w14:paraId="6295E54C">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1836" w:type="dxa"/>
            <w:tcBorders>
              <w:top w:val="single" w:color="auto" w:sz="4" w:space="0"/>
              <w:left w:val="single" w:color="auto" w:sz="4" w:space="0"/>
              <w:bottom w:val="single" w:color="auto" w:sz="4" w:space="0"/>
              <w:right w:val="single" w:color="auto" w:sz="4" w:space="0"/>
            </w:tcBorders>
            <w:shd w:val="clear" w:color="auto" w:fill="auto"/>
          </w:tcPr>
          <w:p w14:paraId="2B8A72DF">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79659BD1">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1701" w:type="dxa"/>
            <w:tcBorders>
              <w:top w:val="single" w:color="auto" w:sz="4" w:space="0"/>
              <w:left w:val="single" w:color="auto" w:sz="4" w:space="0"/>
              <w:bottom w:val="single" w:color="auto" w:sz="4" w:space="0"/>
              <w:right w:val="single" w:color="auto" w:sz="4" w:space="0"/>
            </w:tcBorders>
          </w:tcPr>
          <w:p w14:paraId="058AB7D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2126" w:type="dxa"/>
            <w:tcBorders>
              <w:top w:val="single" w:color="auto" w:sz="4" w:space="0"/>
              <w:left w:val="single" w:color="auto" w:sz="4" w:space="0"/>
              <w:bottom w:val="single" w:color="auto" w:sz="4" w:space="0"/>
              <w:right w:val="single" w:color="auto" w:sz="4" w:space="0"/>
            </w:tcBorders>
          </w:tcPr>
          <w:p w14:paraId="4A5C14F3">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1701" w:type="dxa"/>
            <w:tcBorders>
              <w:top w:val="single" w:color="auto" w:sz="4" w:space="0"/>
              <w:left w:val="single" w:color="auto" w:sz="4" w:space="0"/>
              <w:bottom w:val="single" w:color="auto" w:sz="4" w:space="0"/>
              <w:right w:val="single" w:color="auto" w:sz="4" w:space="0"/>
            </w:tcBorders>
            <w:shd w:val="clear" w:color="auto" w:fill="auto"/>
          </w:tcPr>
          <w:p w14:paraId="157D944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1701" w:type="dxa"/>
            <w:tcBorders>
              <w:top w:val="single" w:color="auto" w:sz="4" w:space="0"/>
              <w:left w:val="single" w:color="auto" w:sz="4" w:space="0"/>
              <w:bottom w:val="single" w:color="auto" w:sz="4" w:space="0"/>
              <w:right w:val="single" w:color="auto" w:sz="4" w:space="0"/>
            </w:tcBorders>
            <w:shd w:val="clear" w:color="auto" w:fill="auto"/>
          </w:tcPr>
          <w:p w14:paraId="1623AAE1">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1843" w:type="dxa"/>
            <w:tcBorders>
              <w:top w:val="single" w:color="auto" w:sz="4" w:space="0"/>
              <w:left w:val="single" w:color="auto" w:sz="4" w:space="0"/>
              <w:bottom w:val="single" w:color="auto" w:sz="4" w:space="0"/>
              <w:right w:val="single" w:color="auto" w:sz="4" w:space="0"/>
            </w:tcBorders>
          </w:tcPr>
          <w:p w14:paraId="6ECEA0B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r>
      <w:tr w14:paraId="30F76AD0">
        <w:tblPrEx>
          <w:tblCellMar>
            <w:top w:w="0" w:type="dxa"/>
            <w:left w:w="108" w:type="dxa"/>
            <w:bottom w:w="0" w:type="dxa"/>
            <w:right w:w="108" w:type="dxa"/>
          </w:tblCellMar>
        </w:tblPrEx>
        <w:trPr>
          <w:trHeight w:val="137" w:hRule="atLeast"/>
        </w:trPr>
        <w:tc>
          <w:tcPr>
            <w:tcW w:w="2383" w:type="dxa"/>
            <w:tcBorders>
              <w:top w:val="single" w:color="auto" w:sz="4" w:space="0"/>
              <w:left w:val="single" w:color="auto" w:sz="4" w:space="0"/>
              <w:bottom w:val="single" w:color="auto" w:sz="4" w:space="0"/>
              <w:right w:val="single" w:color="auto" w:sz="4" w:space="0"/>
            </w:tcBorders>
          </w:tcPr>
          <w:p w14:paraId="3BD0C446">
            <w:pPr>
              <w:spacing w:after="0" w:line="240" w:lineRule="auto"/>
              <w:ind w:right="-88"/>
              <w:rPr>
                <w:rFonts w:ascii="Times New Roman" w:hAnsi="Times New Roman" w:cs="Times New Roman"/>
                <w:b/>
                <w:sz w:val="18"/>
                <w:szCs w:val="18"/>
              </w:rPr>
            </w:pPr>
            <w:r>
              <w:rPr>
                <w:rFonts w:ascii="Times New Roman" w:hAnsi="Times New Roman" w:cs="Times New Roman"/>
                <w:b/>
                <w:sz w:val="18"/>
                <w:szCs w:val="18"/>
              </w:rPr>
              <w:t>Источник бесперебойного питания</w:t>
            </w:r>
          </w:p>
        </w:tc>
        <w:tc>
          <w:tcPr>
            <w:tcW w:w="1836" w:type="dxa"/>
            <w:tcBorders>
              <w:top w:val="single" w:color="auto" w:sz="4" w:space="0"/>
              <w:left w:val="single" w:color="auto" w:sz="4" w:space="0"/>
              <w:bottom w:val="single" w:color="auto" w:sz="4" w:space="0"/>
              <w:right w:val="single" w:color="auto" w:sz="4" w:space="0"/>
            </w:tcBorders>
            <w:shd w:val="clear" w:color="auto" w:fill="auto"/>
          </w:tcPr>
          <w:p w14:paraId="53069861">
            <w:pPr>
              <w:spacing w:after="0" w:line="240" w:lineRule="auto"/>
              <w:ind w:left="-113" w:right="-88"/>
              <w:rPr>
                <w:rFonts w:ascii="Times New Roman" w:hAnsi="Times New Roman" w:cs="Times New Roman"/>
                <w:sz w:val="18"/>
                <w:szCs w:val="18"/>
              </w:rPr>
            </w:pP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3F10B11B">
            <w:pPr>
              <w:spacing w:after="0" w:line="240" w:lineRule="auto"/>
              <w:ind w:left="-113" w:right="-88"/>
              <w:jc w:val="center"/>
              <w:rPr>
                <w:rFonts w:ascii="Times New Roman" w:hAnsi="Times New Roman" w:cs="Times New Roman"/>
                <w:sz w:val="18"/>
                <w:szCs w:val="18"/>
              </w:rPr>
            </w:pPr>
          </w:p>
        </w:tc>
        <w:tc>
          <w:tcPr>
            <w:tcW w:w="1701" w:type="dxa"/>
            <w:tcBorders>
              <w:top w:val="single" w:color="auto" w:sz="4" w:space="0"/>
              <w:left w:val="single" w:color="auto" w:sz="4" w:space="0"/>
              <w:bottom w:val="single" w:color="auto" w:sz="4" w:space="0"/>
              <w:right w:val="single" w:color="auto" w:sz="4" w:space="0"/>
            </w:tcBorders>
          </w:tcPr>
          <w:p w14:paraId="7E6739EA">
            <w:pPr>
              <w:spacing w:after="0" w:line="240" w:lineRule="auto"/>
              <w:ind w:left="-113" w:right="-88"/>
              <w:jc w:val="center"/>
              <w:rPr>
                <w:rFonts w:ascii="Times New Roman" w:hAnsi="Times New Roman" w:cs="Times New Roman"/>
                <w:sz w:val="18"/>
                <w:szCs w:val="18"/>
              </w:rPr>
            </w:pPr>
          </w:p>
        </w:tc>
        <w:tc>
          <w:tcPr>
            <w:tcW w:w="2126" w:type="dxa"/>
            <w:tcBorders>
              <w:top w:val="single" w:color="auto" w:sz="4" w:space="0"/>
              <w:left w:val="single" w:color="auto" w:sz="4" w:space="0"/>
              <w:bottom w:val="single" w:color="auto" w:sz="4" w:space="0"/>
              <w:right w:val="single" w:color="auto" w:sz="4" w:space="0"/>
            </w:tcBorders>
          </w:tcPr>
          <w:p w14:paraId="5925AF6E">
            <w:pPr>
              <w:spacing w:after="0" w:line="240" w:lineRule="auto"/>
              <w:ind w:left="-113" w:right="-88"/>
              <w:jc w:val="center"/>
              <w:rPr>
                <w:rFonts w:ascii="Times New Roman" w:hAnsi="Times New Roman" w:cs="Times New Roman"/>
                <w:sz w:val="18"/>
                <w:szCs w:val="18"/>
              </w:rPr>
            </w:pPr>
          </w:p>
        </w:tc>
        <w:tc>
          <w:tcPr>
            <w:tcW w:w="1701" w:type="dxa"/>
            <w:tcBorders>
              <w:top w:val="single" w:color="auto" w:sz="4" w:space="0"/>
              <w:left w:val="single" w:color="auto" w:sz="4" w:space="0"/>
              <w:bottom w:val="single" w:color="auto" w:sz="4" w:space="0"/>
              <w:right w:val="single" w:color="auto" w:sz="4" w:space="0"/>
            </w:tcBorders>
            <w:shd w:val="clear" w:color="auto" w:fill="auto"/>
          </w:tcPr>
          <w:p w14:paraId="15C7FEAF">
            <w:pPr>
              <w:spacing w:after="0" w:line="240" w:lineRule="auto"/>
              <w:ind w:left="-113" w:right="-88"/>
              <w:jc w:val="center"/>
              <w:rPr>
                <w:rFonts w:ascii="Times New Roman" w:hAnsi="Times New Roman" w:cs="Times New Roman"/>
                <w:sz w:val="18"/>
                <w:szCs w:val="18"/>
              </w:rPr>
            </w:pPr>
          </w:p>
        </w:tc>
        <w:tc>
          <w:tcPr>
            <w:tcW w:w="1701" w:type="dxa"/>
            <w:tcBorders>
              <w:top w:val="single" w:color="auto" w:sz="4" w:space="0"/>
              <w:left w:val="single" w:color="auto" w:sz="4" w:space="0"/>
              <w:bottom w:val="single" w:color="auto" w:sz="4" w:space="0"/>
              <w:right w:val="single" w:color="auto" w:sz="4" w:space="0"/>
            </w:tcBorders>
            <w:shd w:val="clear" w:color="auto" w:fill="auto"/>
          </w:tcPr>
          <w:p w14:paraId="34822C62">
            <w:pPr>
              <w:spacing w:after="0" w:line="240" w:lineRule="auto"/>
              <w:ind w:left="-113" w:right="-88"/>
              <w:jc w:val="center"/>
              <w:rPr>
                <w:rFonts w:ascii="Times New Roman" w:hAnsi="Times New Roman" w:cs="Times New Roman"/>
                <w:sz w:val="18"/>
                <w:szCs w:val="18"/>
              </w:rPr>
            </w:pPr>
          </w:p>
        </w:tc>
        <w:tc>
          <w:tcPr>
            <w:tcW w:w="1843" w:type="dxa"/>
            <w:tcBorders>
              <w:top w:val="single" w:color="auto" w:sz="4" w:space="0"/>
              <w:left w:val="single" w:color="auto" w:sz="4" w:space="0"/>
              <w:bottom w:val="single" w:color="auto" w:sz="4" w:space="0"/>
              <w:right w:val="single" w:color="auto" w:sz="4" w:space="0"/>
            </w:tcBorders>
          </w:tcPr>
          <w:p w14:paraId="00ED76E9">
            <w:pPr>
              <w:spacing w:after="0" w:line="240" w:lineRule="auto"/>
              <w:ind w:left="-113" w:right="-88"/>
              <w:jc w:val="center"/>
              <w:rPr>
                <w:rFonts w:ascii="Times New Roman" w:hAnsi="Times New Roman" w:cs="Times New Roman"/>
                <w:sz w:val="18"/>
                <w:szCs w:val="18"/>
              </w:rPr>
            </w:pPr>
          </w:p>
        </w:tc>
      </w:tr>
      <w:tr w14:paraId="461E7160">
        <w:tblPrEx>
          <w:tblCellMar>
            <w:top w:w="0" w:type="dxa"/>
            <w:left w:w="108" w:type="dxa"/>
            <w:bottom w:w="0" w:type="dxa"/>
            <w:right w:w="108" w:type="dxa"/>
          </w:tblCellMar>
        </w:tblPrEx>
        <w:trPr>
          <w:trHeight w:val="137" w:hRule="atLeast"/>
        </w:trPr>
        <w:tc>
          <w:tcPr>
            <w:tcW w:w="2383" w:type="dxa"/>
            <w:tcBorders>
              <w:top w:val="single" w:color="auto" w:sz="4" w:space="0"/>
              <w:left w:val="single" w:color="auto" w:sz="4" w:space="0"/>
              <w:bottom w:val="single" w:color="auto" w:sz="4" w:space="0"/>
              <w:right w:val="single" w:color="auto" w:sz="4" w:space="0"/>
            </w:tcBorders>
          </w:tcPr>
          <w:p w14:paraId="1EC980D0">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 в год</w:t>
            </w:r>
          </w:p>
        </w:tc>
        <w:tc>
          <w:tcPr>
            <w:tcW w:w="1836" w:type="dxa"/>
            <w:tcBorders>
              <w:top w:val="single" w:color="auto" w:sz="4" w:space="0"/>
              <w:left w:val="single" w:color="auto" w:sz="4" w:space="0"/>
              <w:bottom w:val="single" w:color="auto" w:sz="4" w:space="0"/>
              <w:right w:val="single" w:color="auto" w:sz="4" w:space="0"/>
            </w:tcBorders>
            <w:shd w:val="clear" w:color="auto" w:fill="auto"/>
          </w:tcPr>
          <w:p w14:paraId="335F62F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6D64BD8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701" w:type="dxa"/>
            <w:tcBorders>
              <w:top w:val="single" w:color="auto" w:sz="4" w:space="0"/>
              <w:left w:val="single" w:color="auto" w:sz="4" w:space="0"/>
              <w:bottom w:val="single" w:color="auto" w:sz="4" w:space="0"/>
              <w:right w:val="single" w:color="auto" w:sz="4" w:space="0"/>
            </w:tcBorders>
          </w:tcPr>
          <w:p w14:paraId="4CC744FC">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126" w:type="dxa"/>
            <w:tcBorders>
              <w:top w:val="single" w:color="auto" w:sz="4" w:space="0"/>
              <w:left w:val="single" w:color="auto" w:sz="4" w:space="0"/>
              <w:bottom w:val="single" w:color="auto" w:sz="4" w:space="0"/>
              <w:right w:val="single" w:color="auto" w:sz="4" w:space="0"/>
            </w:tcBorders>
          </w:tcPr>
          <w:p w14:paraId="13AE597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701" w:type="dxa"/>
            <w:tcBorders>
              <w:top w:val="single" w:color="auto" w:sz="4" w:space="0"/>
              <w:left w:val="single" w:color="auto" w:sz="4" w:space="0"/>
              <w:bottom w:val="single" w:color="auto" w:sz="4" w:space="0"/>
              <w:right w:val="single" w:color="auto" w:sz="4" w:space="0"/>
            </w:tcBorders>
            <w:shd w:val="clear" w:color="auto" w:fill="auto"/>
          </w:tcPr>
          <w:p w14:paraId="22AB86AC">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 на сотрудника</w:t>
            </w:r>
          </w:p>
        </w:tc>
        <w:tc>
          <w:tcPr>
            <w:tcW w:w="1701" w:type="dxa"/>
            <w:tcBorders>
              <w:top w:val="single" w:color="auto" w:sz="4" w:space="0"/>
              <w:left w:val="single" w:color="auto" w:sz="4" w:space="0"/>
              <w:bottom w:val="single" w:color="auto" w:sz="4" w:space="0"/>
              <w:right w:val="single" w:color="auto" w:sz="4" w:space="0"/>
            </w:tcBorders>
            <w:shd w:val="clear" w:color="auto" w:fill="auto"/>
          </w:tcPr>
          <w:p w14:paraId="295A36CC">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 на сотрудника</w:t>
            </w:r>
          </w:p>
        </w:tc>
        <w:tc>
          <w:tcPr>
            <w:tcW w:w="1843" w:type="dxa"/>
            <w:tcBorders>
              <w:top w:val="single" w:color="auto" w:sz="4" w:space="0"/>
              <w:left w:val="single" w:color="auto" w:sz="4" w:space="0"/>
              <w:bottom w:val="single" w:color="auto" w:sz="4" w:space="0"/>
              <w:right w:val="single" w:color="auto" w:sz="4" w:space="0"/>
            </w:tcBorders>
          </w:tcPr>
          <w:p w14:paraId="04F5007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 на сотрудника</w:t>
            </w:r>
          </w:p>
        </w:tc>
      </w:tr>
      <w:tr w14:paraId="20987230">
        <w:tblPrEx>
          <w:tblCellMar>
            <w:top w:w="0" w:type="dxa"/>
            <w:left w:w="108" w:type="dxa"/>
            <w:bottom w:w="0" w:type="dxa"/>
            <w:right w:w="108" w:type="dxa"/>
          </w:tblCellMar>
        </w:tblPrEx>
        <w:trPr>
          <w:trHeight w:val="137" w:hRule="atLeast"/>
        </w:trPr>
        <w:tc>
          <w:tcPr>
            <w:tcW w:w="2383" w:type="dxa"/>
            <w:tcBorders>
              <w:top w:val="single" w:color="auto" w:sz="4" w:space="0"/>
              <w:left w:val="single" w:color="auto" w:sz="4" w:space="0"/>
              <w:bottom w:val="single" w:color="auto" w:sz="4" w:space="0"/>
              <w:right w:val="single" w:color="auto" w:sz="4" w:space="0"/>
            </w:tcBorders>
          </w:tcPr>
          <w:p w14:paraId="18F03B8E">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1836" w:type="dxa"/>
            <w:tcBorders>
              <w:top w:val="single" w:color="auto" w:sz="4" w:space="0"/>
              <w:left w:val="single" w:color="auto" w:sz="4" w:space="0"/>
              <w:bottom w:val="single" w:color="auto" w:sz="4" w:space="0"/>
              <w:right w:val="single" w:color="auto" w:sz="4" w:space="0"/>
            </w:tcBorders>
            <w:shd w:val="clear" w:color="auto" w:fill="auto"/>
          </w:tcPr>
          <w:p w14:paraId="53297B98">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5000,00</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79775B38">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5000,00</w:t>
            </w:r>
          </w:p>
        </w:tc>
        <w:tc>
          <w:tcPr>
            <w:tcW w:w="1701" w:type="dxa"/>
            <w:tcBorders>
              <w:top w:val="single" w:color="auto" w:sz="4" w:space="0"/>
              <w:left w:val="single" w:color="auto" w:sz="4" w:space="0"/>
              <w:bottom w:val="single" w:color="auto" w:sz="4" w:space="0"/>
              <w:right w:val="single" w:color="auto" w:sz="4" w:space="0"/>
            </w:tcBorders>
          </w:tcPr>
          <w:p w14:paraId="72F36DD9">
            <w:pPr>
              <w:jc w:val="center"/>
            </w:pPr>
            <w:r>
              <w:rPr>
                <w:rFonts w:ascii="Times New Roman" w:hAnsi="Times New Roman" w:cs="Times New Roman"/>
                <w:sz w:val="18"/>
                <w:szCs w:val="18"/>
              </w:rPr>
              <w:t>не более 5000,00</w:t>
            </w:r>
          </w:p>
        </w:tc>
        <w:tc>
          <w:tcPr>
            <w:tcW w:w="2126" w:type="dxa"/>
            <w:tcBorders>
              <w:top w:val="single" w:color="auto" w:sz="4" w:space="0"/>
              <w:left w:val="single" w:color="auto" w:sz="4" w:space="0"/>
              <w:bottom w:val="single" w:color="auto" w:sz="4" w:space="0"/>
              <w:right w:val="single" w:color="auto" w:sz="4" w:space="0"/>
            </w:tcBorders>
          </w:tcPr>
          <w:p w14:paraId="7FCA1D6E">
            <w:pPr>
              <w:jc w:val="center"/>
            </w:pPr>
            <w:r>
              <w:rPr>
                <w:rFonts w:ascii="Times New Roman" w:hAnsi="Times New Roman" w:cs="Times New Roman"/>
                <w:sz w:val="18"/>
                <w:szCs w:val="18"/>
              </w:rPr>
              <w:t>не более 5000,00</w:t>
            </w:r>
          </w:p>
        </w:tc>
        <w:tc>
          <w:tcPr>
            <w:tcW w:w="1701" w:type="dxa"/>
            <w:tcBorders>
              <w:top w:val="single" w:color="auto" w:sz="4" w:space="0"/>
              <w:left w:val="single" w:color="auto" w:sz="4" w:space="0"/>
              <w:bottom w:val="single" w:color="auto" w:sz="4" w:space="0"/>
              <w:right w:val="single" w:color="auto" w:sz="4" w:space="0"/>
            </w:tcBorders>
            <w:shd w:val="clear" w:color="auto" w:fill="auto"/>
          </w:tcPr>
          <w:p w14:paraId="07D8120E">
            <w:pPr>
              <w:jc w:val="center"/>
            </w:pPr>
            <w:r>
              <w:rPr>
                <w:rFonts w:ascii="Times New Roman" w:hAnsi="Times New Roman" w:cs="Times New Roman"/>
                <w:sz w:val="18"/>
                <w:szCs w:val="18"/>
              </w:rPr>
              <w:t>не более 5000,00</w:t>
            </w:r>
          </w:p>
        </w:tc>
        <w:tc>
          <w:tcPr>
            <w:tcW w:w="1701" w:type="dxa"/>
            <w:tcBorders>
              <w:top w:val="single" w:color="auto" w:sz="4" w:space="0"/>
              <w:left w:val="single" w:color="auto" w:sz="4" w:space="0"/>
              <w:bottom w:val="single" w:color="auto" w:sz="4" w:space="0"/>
              <w:right w:val="single" w:color="auto" w:sz="4" w:space="0"/>
            </w:tcBorders>
            <w:shd w:val="clear" w:color="auto" w:fill="auto"/>
          </w:tcPr>
          <w:p w14:paraId="073957C4">
            <w:pPr>
              <w:jc w:val="center"/>
            </w:pPr>
            <w:r>
              <w:rPr>
                <w:rFonts w:ascii="Times New Roman" w:hAnsi="Times New Roman" w:cs="Times New Roman"/>
                <w:sz w:val="18"/>
                <w:szCs w:val="18"/>
              </w:rPr>
              <w:t>не более 5000,00</w:t>
            </w:r>
          </w:p>
        </w:tc>
        <w:tc>
          <w:tcPr>
            <w:tcW w:w="1843" w:type="dxa"/>
            <w:tcBorders>
              <w:top w:val="single" w:color="auto" w:sz="4" w:space="0"/>
              <w:left w:val="single" w:color="auto" w:sz="4" w:space="0"/>
              <w:bottom w:val="single" w:color="auto" w:sz="4" w:space="0"/>
              <w:right w:val="single" w:color="auto" w:sz="4" w:space="0"/>
            </w:tcBorders>
          </w:tcPr>
          <w:p w14:paraId="3DE8A1EA">
            <w:pPr>
              <w:jc w:val="center"/>
            </w:pPr>
            <w:r>
              <w:rPr>
                <w:rFonts w:ascii="Times New Roman" w:hAnsi="Times New Roman" w:cs="Times New Roman"/>
                <w:sz w:val="18"/>
                <w:szCs w:val="18"/>
              </w:rPr>
              <w:t>не более 5000,00</w:t>
            </w:r>
          </w:p>
        </w:tc>
      </w:tr>
    </w:tbl>
    <w:p w14:paraId="13616FA9">
      <w:pPr>
        <w:rPr>
          <w:rFonts w:ascii="Times New Roman" w:hAnsi="Times New Roman" w:cs="Times New Roman"/>
          <w:sz w:val="28"/>
          <w:szCs w:val="28"/>
        </w:rPr>
      </w:pPr>
      <w:r>
        <w:rPr>
          <w:rFonts w:ascii="Times New Roman" w:hAnsi="Times New Roman" w:cs="Times New Roman"/>
          <w:sz w:val="28"/>
          <w:szCs w:val="28"/>
        </w:rPr>
        <w:t>*Количество рабочих станций и источников бесперебойного питания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и учреждения. Приобретение источников бесперебойного питания производится с целью замены неисправных, докомплектацией вновь приобретенных рабочих станций, а также подлежащих списанию для создания резерва с целью обеспечения непрерывности работы.</w:t>
      </w:r>
    </w:p>
    <w:p w14:paraId="1C05602B">
      <w:pPr>
        <w:pStyle w:val="8"/>
        <w:spacing w:line="360" w:lineRule="auto"/>
        <w:ind w:firstLine="709"/>
        <w:jc w:val="both"/>
        <w:rPr>
          <w:rFonts w:ascii="Times New Roman" w:hAnsi="Times New Roman" w:cs="Times New Roman"/>
          <w:sz w:val="28"/>
          <w:szCs w:val="28"/>
        </w:rPr>
      </w:pPr>
    </w:p>
    <w:p w14:paraId="3F693508">
      <w:pPr>
        <w:rPr>
          <w:rFonts w:ascii="Times New Roman" w:hAnsi="Times New Roman" w:eastAsia="Times New Roman" w:cs="Times New Roman"/>
          <w:bCs/>
          <w:sz w:val="28"/>
          <w:szCs w:val="28"/>
          <w:lang w:eastAsia="ru-RU"/>
        </w:rPr>
        <w:sectPr>
          <w:pgSz w:w="16838" w:h="11906" w:orient="landscape"/>
          <w:pgMar w:top="1588" w:right="1418" w:bottom="567" w:left="1134" w:header="567" w:footer="709" w:gutter="0"/>
          <w:cols w:space="708" w:num="1"/>
          <w:titlePg/>
          <w:docGrid w:linePitch="360" w:charSpace="0"/>
        </w:sectPr>
      </w:pPr>
      <w:r>
        <w:rPr>
          <w:rFonts w:ascii="Times New Roman" w:hAnsi="Times New Roman" w:eastAsia="Times New Roman" w:cs="Times New Roman"/>
          <w:bCs/>
          <w:sz w:val="28"/>
          <w:szCs w:val="28"/>
          <w:lang w:eastAsia="ru-RU"/>
        </w:rPr>
        <w:t xml:space="preserve"> </w:t>
      </w:r>
    </w:p>
    <w:p w14:paraId="2C5585FD">
      <w:pPr>
        <w:autoSpaceDE w:val="0"/>
        <w:autoSpaceDN w:val="0"/>
        <w:adjustRightInd w:val="0"/>
        <w:spacing w:after="0" w:line="36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 xml:space="preserve">4.2. Затраты на приобретение принтеров, многофункциональных устройств, копировальных аппаратов </w:t>
      </w:r>
      <w:r>
        <w:rPr>
          <w:rFonts w:ascii="Times New Roman" w:hAnsi="Times New Roman" w:eastAsia="Times New Roman" w:cs="Times New Roman"/>
          <w:sz w:val="28"/>
          <w:szCs w:val="28"/>
          <w:lang w:eastAsia="ru-RU"/>
        </w:rPr>
        <w:t>и иной оргтехники</w:t>
      </w:r>
      <w:r>
        <w:rPr>
          <w:rFonts w:ascii="Times New Roman" w:hAnsi="Times New Roman" w:eastAsia="Times New Roman" w:cs="Times New Roman"/>
          <w:bCs/>
          <w:sz w:val="28"/>
          <w:szCs w:val="28"/>
          <w:lang w:eastAsia="ru-RU"/>
        </w:rPr>
        <w:t xml:space="preserve"> (</w:t>
      </w:r>
      <w:r>
        <w:rPr>
          <w:rFonts w:ascii="Times New Roman" w:hAnsi="Times New Roman" w:eastAsia="Times New Roman" w:cs="Times New Roman"/>
          <w:position w:val="-12"/>
          <w:sz w:val="28"/>
          <w:szCs w:val="28"/>
          <w:lang w:eastAsia="ru-RU"/>
        </w:rPr>
        <w:drawing>
          <wp:inline distT="0" distB="0" distL="0" distR="0">
            <wp:extent cx="309245" cy="309245"/>
            <wp:effectExtent l="0" t="0" r="0" b="0"/>
            <wp:docPr id="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13"/>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a:xfrm>
                      <a:off x="0" y="0"/>
                      <a:ext cx="309245" cy="309245"/>
                    </a:xfrm>
                    <a:prstGeom prst="rect">
                      <a:avLst/>
                    </a:prstGeom>
                    <a:noFill/>
                    <a:ln>
                      <a:noFill/>
                    </a:ln>
                  </pic:spPr>
                </pic:pic>
              </a:graphicData>
            </a:graphic>
          </wp:inline>
        </w:drawing>
      </w:r>
      <w:r>
        <w:rPr>
          <w:rFonts w:ascii="Times New Roman" w:hAnsi="Times New Roman" w:eastAsia="Times New Roman" w:cs="Times New Roman"/>
          <w:bCs/>
          <w:sz w:val="28"/>
          <w:szCs w:val="28"/>
          <w:lang w:eastAsia="ru-RU"/>
        </w:rPr>
        <w:t>), определяемые по формуле:</w:t>
      </w:r>
    </w:p>
    <w:p w14:paraId="680211C0">
      <w:pPr>
        <w:widowControl w:val="0"/>
        <w:autoSpaceDE w:val="0"/>
        <w:autoSpaceDN w:val="0"/>
        <w:adjustRightInd w:val="0"/>
        <w:spacing w:after="0" w:line="360" w:lineRule="auto"/>
        <w:ind w:firstLine="709"/>
        <w:jc w:val="center"/>
        <w:rPr>
          <w:rFonts w:ascii="Times New Roman" w:hAnsi="Times New Roman" w:eastAsia="Times New Roman" w:cs="Times New Roman"/>
          <w:sz w:val="28"/>
          <w:szCs w:val="28"/>
          <w:lang w:eastAsia="ru-RU"/>
        </w:rPr>
      </w:pPr>
      <w:r>
        <w:rPr>
          <w:rFonts w:ascii="Times New Roman" w:hAnsi="Times New Roman" w:eastAsia="Times New Roman" w:cs="Times New Roman"/>
          <w:position w:val="-28"/>
          <w:sz w:val="28"/>
          <w:szCs w:val="28"/>
          <w:lang w:eastAsia="ru-RU"/>
        </w:rPr>
        <w:drawing>
          <wp:inline distT="0" distB="0" distL="0" distR="0">
            <wp:extent cx="1597025" cy="605155"/>
            <wp:effectExtent l="0" t="0" r="3175" b="444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a:xfrm>
                      <a:off x="0" y="0"/>
                      <a:ext cx="1597025" cy="605155"/>
                    </a:xfrm>
                    <a:prstGeom prst="rect">
                      <a:avLst/>
                    </a:prstGeom>
                    <a:noFill/>
                    <a:ln>
                      <a:noFill/>
                    </a:ln>
                  </pic:spPr>
                </pic:pic>
              </a:graphicData>
            </a:graphic>
          </wp:inline>
        </w:drawing>
      </w:r>
      <w:r>
        <w:rPr>
          <w:rFonts w:ascii="Times New Roman" w:hAnsi="Times New Roman" w:eastAsia="Times New Roman" w:cs="Times New Roman"/>
          <w:sz w:val="28"/>
          <w:szCs w:val="28"/>
          <w:lang w:eastAsia="ru-RU"/>
        </w:rPr>
        <w:t>, где:</w:t>
      </w:r>
    </w:p>
    <w:p w14:paraId="326FE099">
      <w:pPr>
        <w:autoSpaceDE w:val="0"/>
        <w:autoSpaceDN w:val="0"/>
        <w:adjustRightInd w:val="0"/>
        <w:spacing w:after="0" w:line="36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Q</w:t>
      </w:r>
      <w:r>
        <w:rPr>
          <w:rFonts w:ascii="Times New Roman" w:hAnsi="Times New Roman" w:eastAsia="Times New Roman" w:cs="Times New Roman"/>
          <w:sz w:val="28"/>
          <w:szCs w:val="28"/>
          <w:vertAlign w:val="subscript"/>
          <w:lang w:eastAsia="ru-RU"/>
        </w:rPr>
        <w:t>i пм</w:t>
      </w:r>
      <w:r>
        <w:rPr>
          <w:rFonts w:ascii="Times New Roman" w:hAnsi="Times New Roman" w:eastAsia="Times New Roman" w:cs="Times New Roman"/>
          <w:sz w:val="28"/>
          <w:szCs w:val="28"/>
          <w:lang w:eastAsia="ru-RU"/>
        </w:rPr>
        <w:t xml:space="preserve"> –количество принтеров, многофункциональных устройств, копировальных аппаратов и иной оргтехники по i-й должности;</w:t>
      </w:r>
    </w:p>
    <w:p w14:paraId="09080C00">
      <w:pPr>
        <w:pStyle w:val="8"/>
        <w:spacing w:line="360" w:lineRule="auto"/>
        <w:ind w:firstLine="709"/>
        <w:jc w:val="both"/>
        <w:rPr>
          <w:rFonts w:ascii="Times New Roman" w:hAnsi="Times New Roman" w:cs="Times New Roman"/>
          <w:sz w:val="28"/>
          <w:szCs w:val="28"/>
        </w:rPr>
      </w:pPr>
      <w:r>
        <w:rPr>
          <w:rFonts w:ascii="Times New Roman" w:hAnsi="Times New Roman" w:cs="Times New Roman"/>
          <w:position w:val="-12"/>
          <w:sz w:val="28"/>
          <w:szCs w:val="28"/>
        </w:rPr>
        <w:drawing>
          <wp:inline distT="0" distB="0" distL="0" distR="0">
            <wp:extent cx="373380" cy="321945"/>
            <wp:effectExtent l="0" t="0" r="762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a:xfrm>
                      <a:off x="0" y="0"/>
                      <a:ext cx="373380" cy="321945"/>
                    </a:xfrm>
                    <a:prstGeom prst="rect">
                      <a:avLst/>
                    </a:prstGeom>
                    <a:noFill/>
                    <a:ln>
                      <a:noFill/>
                    </a:ln>
                  </pic:spPr>
                </pic:pic>
              </a:graphicData>
            </a:graphic>
          </wp:inline>
        </w:drawing>
      </w:r>
      <w:r>
        <w:rPr>
          <w:rFonts w:ascii="Times New Roman" w:hAnsi="Times New Roman" w:cs="Times New Roman"/>
          <w:sz w:val="28"/>
          <w:szCs w:val="28"/>
        </w:rPr>
        <w:t xml:space="preserve"> –цена 1 i-го типа принтера, многофункционального устройства, копировального аппарата и иной оргтехники.</w:t>
      </w:r>
    </w:p>
    <w:p w14:paraId="14C11B3E">
      <w:pPr>
        <w:pStyle w:val="8"/>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производится в соответствии с нормативами согласно таблице №14.  </w:t>
      </w:r>
    </w:p>
    <w:p w14:paraId="4F3ED8B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№14</w:t>
      </w:r>
    </w:p>
    <w:p w14:paraId="390BB67F">
      <w:pPr>
        <w:tabs>
          <w:tab w:val="left" w:pos="1134"/>
        </w:tabs>
        <w:autoSpaceDE w:val="0"/>
        <w:autoSpaceDN w:val="0"/>
        <w:adjustRightInd w:val="0"/>
        <w:spacing w:after="0" w:line="240" w:lineRule="auto"/>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принтеров, многофункциональных устройств и копировальных аппаратов (оргтехники)</w:t>
      </w:r>
    </w:p>
    <w:p w14:paraId="116508D2">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p>
    <w:tbl>
      <w:tblPr>
        <w:tblStyle w:val="3"/>
        <w:tblW w:w="978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15"/>
        <w:gridCol w:w="3089"/>
        <w:gridCol w:w="2977"/>
      </w:tblGrid>
      <w:tr w14:paraId="672DC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trPr>
        <w:tc>
          <w:tcPr>
            <w:tcW w:w="3715" w:type="dxa"/>
            <w:shd w:val="clear" w:color="auto" w:fill="auto"/>
          </w:tcPr>
          <w:p w14:paraId="6C101C3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устройства</w:t>
            </w:r>
          </w:p>
        </w:tc>
        <w:tc>
          <w:tcPr>
            <w:tcW w:w="3089" w:type="dxa"/>
            <w:shd w:val="clear" w:color="auto" w:fill="auto"/>
          </w:tcPr>
          <w:p w14:paraId="4117E94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w:t>
            </w:r>
          </w:p>
          <w:p w14:paraId="4D5C837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2977" w:type="dxa"/>
            <w:shd w:val="clear" w:color="auto" w:fill="auto"/>
          </w:tcPr>
          <w:p w14:paraId="712D05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14:paraId="46723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9781" w:type="dxa"/>
            <w:gridSpan w:val="3"/>
            <w:shd w:val="clear" w:color="auto" w:fill="auto"/>
          </w:tcPr>
          <w:p w14:paraId="0789A456">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министерство</w:t>
            </w:r>
          </w:p>
        </w:tc>
      </w:tr>
      <w:tr w14:paraId="4F5B1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3715" w:type="dxa"/>
            <w:shd w:val="clear" w:color="auto" w:fill="auto"/>
          </w:tcPr>
          <w:p w14:paraId="626A0A2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Многофункциональное устройство </w:t>
            </w:r>
          </w:p>
        </w:tc>
        <w:tc>
          <w:tcPr>
            <w:tcW w:w="3089" w:type="dxa"/>
            <w:shd w:val="clear" w:color="auto" w:fill="auto"/>
          </w:tcPr>
          <w:p w14:paraId="1914BF15">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 xml:space="preserve">не более 10 единиц на министерство </w:t>
            </w:r>
          </w:p>
        </w:tc>
        <w:tc>
          <w:tcPr>
            <w:tcW w:w="2977" w:type="dxa"/>
            <w:shd w:val="clear" w:color="auto" w:fill="auto"/>
          </w:tcPr>
          <w:p w14:paraId="4BF3499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200 000,00</w:t>
            </w:r>
          </w:p>
        </w:tc>
      </w:tr>
      <w:tr w14:paraId="6AEF7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3715" w:type="dxa"/>
            <w:shd w:val="clear" w:color="auto" w:fill="auto"/>
          </w:tcPr>
          <w:p w14:paraId="73D62164">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 цветной</w:t>
            </w:r>
          </w:p>
        </w:tc>
        <w:tc>
          <w:tcPr>
            <w:tcW w:w="3089" w:type="dxa"/>
            <w:shd w:val="clear" w:color="auto" w:fill="auto"/>
          </w:tcPr>
          <w:p w14:paraId="78CBE49F">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 xml:space="preserve">не более 1 единиц на министерство </w:t>
            </w:r>
          </w:p>
        </w:tc>
        <w:tc>
          <w:tcPr>
            <w:tcW w:w="2977" w:type="dxa"/>
            <w:shd w:val="clear" w:color="auto" w:fill="auto"/>
          </w:tcPr>
          <w:p w14:paraId="410EAC2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55 000,00</w:t>
            </w:r>
          </w:p>
        </w:tc>
      </w:tr>
      <w:tr w14:paraId="4F5F8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3715" w:type="dxa"/>
            <w:shd w:val="clear" w:color="auto" w:fill="auto"/>
          </w:tcPr>
          <w:p w14:paraId="3ED90D27">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 монохромный</w:t>
            </w:r>
          </w:p>
        </w:tc>
        <w:tc>
          <w:tcPr>
            <w:tcW w:w="3089" w:type="dxa"/>
            <w:shd w:val="clear" w:color="auto" w:fill="auto"/>
          </w:tcPr>
          <w:p w14:paraId="27DA742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5 единиц</w:t>
            </w:r>
          </w:p>
        </w:tc>
        <w:tc>
          <w:tcPr>
            <w:tcW w:w="2977" w:type="dxa"/>
            <w:shd w:val="clear" w:color="auto" w:fill="auto"/>
          </w:tcPr>
          <w:p w14:paraId="02A6ADA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22 000,00</w:t>
            </w:r>
          </w:p>
        </w:tc>
      </w:tr>
      <w:tr w14:paraId="11565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3715" w:type="dxa"/>
            <w:shd w:val="clear" w:color="auto" w:fill="auto"/>
          </w:tcPr>
          <w:p w14:paraId="7D17375D">
            <w:pPr>
              <w:spacing w:after="0" w:line="240" w:lineRule="auto"/>
              <w:rPr>
                <w:rFonts w:ascii="Times New Roman" w:hAnsi="Times New Roman" w:cs="Times New Roman"/>
                <w:sz w:val="28"/>
                <w:szCs w:val="28"/>
              </w:rPr>
            </w:pPr>
            <w:r>
              <w:rPr>
                <w:rFonts w:ascii="Times New Roman" w:hAnsi="Times New Roman" w:cs="Times New Roman"/>
                <w:sz w:val="28"/>
                <w:szCs w:val="28"/>
              </w:rPr>
              <w:t>Проектор</w:t>
            </w:r>
          </w:p>
        </w:tc>
        <w:tc>
          <w:tcPr>
            <w:tcW w:w="3089" w:type="dxa"/>
            <w:shd w:val="clear" w:color="auto" w:fill="auto"/>
          </w:tcPr>
          <w:p w14:paraId="7EB3D3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министерство</w:t>
            </w:r>
          </w:p>
        </w:tc>
        <w:tc>
          <w:tcPr>
            <w:tcW w:w="2977" w:type="dxa"/>
            <w:shd w:val="clear" w:color="auto" w:fill="auto"/>
          </w:tcPr>
          <w:p w14:paraId="53B2E7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20 000,00</w:t>
            </w:r>
          </w:p>
        </w:tc>
      </w:tr>
      <w:tr w14:paraId="281FD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9781" w:type="dxa"/>
            <w:gridSpan w:val="3"/>
            <w:shd w:val="clear" w:color="auto" w:fill="auto"/>
          </w:tcPr>
          <w:p w14:paraId="1909CD90">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учреждение</w:t>
            </w:r>
          </w:p>
        </w:tc>
      </w:tr>
      <w:tr w14:paraId="2102A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3715" w:type="dxa"/>
            <w:shd w:val="clear" w:color="auto" w:fill="auto"/>
          </w:tcPr>
          <w:p w14:paraId="7CB2913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Многофункциональное устройство </w:t>
            </w:r>
          </w:p>
        </w:tc>
        <w:tc>
          <w:tcPr>
            <w:tcW w:w="3089" w:type="dxa"/>
            <w:shd w:val="clear" w:color="auto" w:fill="auto"/>
          </w:tcPr>
          <w:p w14:paraId="697A5E5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не более 10 единицы </w:t>
            </w:r>
          </w:p>
        </w:tc>
        <w:tc>
          <w:tcPr>
            <w:tcW w:w="2977" w:type="dxa"/>
            <w:shd w:val="clear" w:color="auto" w:fill="auto"/>
          </w:tcPr>
          <w:p w14:paraId="168254F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100 000,00</w:t>
            </w:r>
          </w:p>
        </w:tc>
      </w:tr>
      <w:tr w14:paraId="58F48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3715" w:type="dxa"/>
            <w:shd w:val="clear" w:color="auto" w:fill="auto"/>
          </w:tcPr>
          <w:p w14:paraId="22D1DD5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 монохромный</w:t>
            </w:r>
          </w:p>
        </w:tc>
        <w:tc>
          <w:tcPr>
            <w:tcW w:w="3089" w:type="dxa"/>
            <w:shd w:val="clear" w:color="auto" w:fill="auto"/>
          </w:tcPr>
          <w:p w14:paraId="68240FF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не более 8 единицы </w:t>
            </w:r>
          </w:p>
        </w:tc>
        <w:tc>
          <w:tcPr>
            <w:tcW w:w="2977" w:type="dxa"/>
            <w:shd w:val="clear" w:color="auto" w:fill="auto"/>
          </w:tcPr>
          <w:p w14:paraId="4A84852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14:paraId="3C1D7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3715" w:type="dxa"/>
            <w:shd w:val="clear" w:color="auto" w:fill="auto"/>
          </w:tcPr>
          <w:p w14:paraId="38227052">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 (МФУ) цветной</w:t>
            </w:r>
          </w:p>
        </w:tc>
        <w:tc>
          <w:tcPr>
            <w:tcW w:w="3089" w:type="dxa"/>
            <w:shd w:val="clear" w:color="auto" w:fill="auto"/>
          </w:tcPr>
          <w:p w14:paraId="1C3BD1F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не более 1 единицы </w:t>
            </w:r>
          </w:p>
        </w:tc>
        <w:tc>
          <w:tcPr>
            <w:tcW w:w="2977" w:type="dxa"/>
            <w:shd w:val="clear" w:color="auto" w:fill="auto"/>
          </w:tcPr>
          <w:p w14:paraId="3DF35C0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450 000,00</w:t>
            </w:r>
          </w:p>
        </w:tc>
      </w:tr>
    </w:tbl>
    <w:p w14:paraId="3D305815">
      <w:pPr>
        <w:spacing w:after="0"/>
        <w:jc w:val="both"/>
        <w:rPr>
          <w:rFonts w:ascii="Times New Roman" w:hAnsi="Times New Roman" w:cs="Times New Roman"/>
          <w:sz w:val="24"/>
          <w:szCs w:val="24"/>
        </w:rPr>
      </w:pPr>
      <w:r>
        <w:rPr>
          <w:rFonts w:ascii="Times New Roman" w:hAnsi="Times New Roman" w:cs="Times New Roman"/>
          <w:sz w:val="24"/>
          <w:szCs w:val="24"/>
        </w:rPr>
        <w:t>*Количество принтеров, многофункциональных устройств и иной оргтехники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и подведомственного ему областного казенного учреждения.</w:t>
      </w:r>
    </w:p>
    <w:p w14:paraId="15B898A6">
      <w:pPr>
        <w:tabs>
          <w:tab w:val="left" w:pos="7155"/>
        </w:tabs>
        <w:spacing w:after="0" w:line="360" w:lineRule="auto"/>
        <w:rPr>
          <w:rFonts w:ascii="Times New Roman" w:hAnsi="Times New Roman" w:cs="Times New Roman"/>
          <w:sz w:val="28"/>
          <w:szCs w:val="28"/>
        </w:rPr>
      </w:pPr>
      <w:r>
        <w:rPr>
          <w:rFonts w:ascii="Times New Roman" w:hAnsi="Times New Roman" w:cs="Times New Roman"/>
          <w:sz w:val="28"/>
          <w:szCs w:val="28"/>
        </w:rPr>
        <w:tab/>
      </w:r>
    </w:p>
    <w:p w14:paraId="65C4CC14">
      <w:pPr>
        <w:pStyle w:val="8"/>
        <w:spacing w:line="360" w:lineRule="auto"/>
        <w:ind w:firstLine="709"/>
        <w:jc w:val="both"/>
        <w:rPr>
          <w:rFonts w:ascii="Times New Roman" w:hAnsi="Times New Roman" w:cs="Times New Roman"/>
          <w:sz w:val="28"/>
          <w:szCs w:val="28"/>
        </w:rPr>
      </w:pPr>
    </w:p>
    <w:p w14:paraId="49D608CF">
      <w:pPr>
        <w:rPr>
          <w:rFonts w:ascii="Times New Roman" w:hAnsi="Times New Roman" w:eastAsia="Times New Roman" w:cs="Times New Roman"/>
          <w:sz w:val="28"/>
          <w:szCs w:val="28"/>
          <w:lang w:eastAsia="ru-RU"/>
        </w:rPr>
      </w:pPr>
      <w:r>
        <w:rPr>
          <w:rFonts w:ascii="Times New Roman" w:hAnsi="Times New Roman" w:cs="Times New Roman"/>
          <w:sz w:val="28"/>
          <w:szCs w:val="28"/>
        </w:rPr>
        <w:br w:type="page"/>
      </w:r>
    </w:p>
    <w:p w14:paraId="33A91320">
      <w:pPr>
        <w:pStyle w:val="8"/>
        <w:spacing w:line="360" w:lineRule="auto"/>
        <w:ind w:firstLine="709"/>
        <w:jc w:val="both"/>
        <w:rPr>
          <w:rFonts w:ascii="Times New Roman" w:hAnsi="Times New Roman" w:cs="Times New Roman"/>
          <w:sz w:val="28"/>
          <w:szCs w:val="28"/>
        </w:rPr>
        <w:sectPr>
          <w:pgSz w:w="11906" w:h="16838"/>
          <w:pgMar w:top="1418" w:right="567" w:bottom="1134" w:left="1588" w:header="567" w:footer="709" w:gutter="0"/>
          <w:cols w:space="708" w:num="1"/>
          <w:titlePg/>
          <w:docGrid w:linePitch="360" w:charSpace="0"/>
        </w:sectPr>
      </w:pPr>
    </w:p>
    <w:p w14:paraId="7542B751">
      <w:pPr>
        <w:pStyle w:val="8"/>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4.3. Затраты на приобретение планшетных компьютеров </w:t>
      </w:r>
      <w:r>
        <w:rPr>
          <w:rFonts w:ascii="Times New Roman" w:hAnsi="Times New Roman" w:cs="Times New Roman"/>
          <w:position w:val="-14"/>
          <w:sz w:val="28"/>
          <w:szCs w:val="28"/>
        </w:rPr>
        <w:drawing>
          <wp:inline distT="0" distB="0" distL="0" distR="0">
            <wp:extent cx="457200" cy="257175"/>
            <wp:effectExtent l="0" t="0" r="0" b="0"/>
            <wp:docPr id="43" name="Рисунок 111" descr="base_23792_85543_564"/>
            <wp:cNvGraphicFramePr/>
            <a:graphic xmlns:a="http://schemas.openxmlformats.org/drawingml/2006/main">
              <a:graphicData uri="http://schemas.openxmlformats.org/drawingml/2006/picture">
                <pic:pic xmlns:pic="http://schemas.openxmlformats.org/drawingml/2006/picture">
                  <pic:nvPicPr>
                    <pic:cNvPr id="43" name="Рисунок 111" descr="base_23792_85543_564"/>
                    <pic:cNvPicPr preferRelativeResize="0">
                      <a:picLocks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a:xfrm>
                      <a:off x="0" y="0"/>
                      <a:ext cx="4572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1B7F8275">
      <w:pPr>
        <w:pStyle w:val="8"/>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drawing>
          <wp:inline distT="0" distB="0" distL="0" distR="0">
            <wp:extent cx="2009775" cy="476250"/>
            <wp:effectExtent l="0" t="0" r="0" b="0"/>
            <wp:docPr id="42" name="Рисунок 112" descr="base_23792_85543_565"/>
            <wp:cNvGraphicFramePr/>
            <a:graphic xmlns:a="http://schemas.openxmlformats.org/drawingml/2006/main">
              <a:graphicData uri="http://schemas.openxmlformats.org/drawingml/2006/picture">
                <pic:pic xmlns:pic="http://schemas.openxmlformats.org/drawingml/2006/picture">
                  <pic:nvPicPr>
                    <pic:cNvPr id="42" name="Рисунок 112" descr="base_23792_85543_565"/>
                    <pic:cNvPicPr preferRelativeResize="0">
                      <a:picLocks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a:xfrm>
                      <a:off x="0" y="0"/>
                      <a:ext cx="2009775" cy="476250"/>
                    </a:xfrm>
                    <a:prstGeom prst="rect">
                      <a:avLst/>
                    </a:prstGeom>
                    <a:noFill/>
                    <a:ln>
                      <a:noFill/>
                    </a:ln>
                  </pic:spPr>
                </pic:pic>
              </a:graphicData>
            </a:graphic>
          </wp:inline>
        </w:drawing>
      </w:r>
    </w:p>
    <w:p w14:paraId="05BC88DE">
      <w:pPr>
        <w:pStyle w:val="8"/>
        <w:spacing w:line="360" w:lineRule="auto"/>
        <w:ind w:firstLine="709"/>
        <w:jc w:val="both"/>
        <w:rPr>
          <w:rFonts w:ascii="Times New Roman" w:hAnsi="Times New Roman" w:cs="Times New Roman"/>
          <w:sz w:val="28"/>
          <w:szCs w:val="28"/>
        </w:rPr>
      </w:pPr>
      <w:r>
        <w:rPr>
          <w:rFonts w:ascii="Times New Roman" w:hAnsi="Times New Roman" w:cs="Times New Roman"/>
          <w:position w:val="-14"/>
          <w:sz w:val="28"/>
          <w:szCs w:val="28"/>
        </w:rPr>
        <w:drawing>
          <wp:inline distT="0" distB="0" distL="0" distR="0">
            <wp:extent cx="438150" cy="257175"/>
            <wp:effectExtent l="0" t="0" r="0" b="0"/>
            <wp:docPr id="41" name="Рисунок 113" descr="base_23792_85543_566"/>
            <wp:cNvGraphicFramePr/>
            <a:graphic xmlns:a="http://schemas.openxmlformats.org/drawingml/2006/main">
              <a:graphicData uri="http://schemas.openxmlformats.org/drawingml/2006/picture">
                <pic:pic xmlns:pic="http://schemas.openxmlformats.org/drawingml/2006/picture">
                  <pic:nvPicPr>
                    <pic:cNvPr id="41" name="Рисунок 113" descr="base_23792_85543_566"/>
                    <pic:cNvPicPr preferRelativeResize="0">
                      <a:picLocks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планшетных компьютеров по i-й должности;</w:t>
      </w:r>
    </w:p>
    <w:p w14:paraId="2CDB4F44">
      <w:pPr>
        <w:pStyle w:val="8"/>
        <w:spacing w:line="360" w:lineRule="auto"/>
        <w:ind w:firstLine="709"/>
        <w:jc w:val="both"/>
        <w:rPr>
          <w:rFonts w:ascii="Times New Roman" w:hAnsi="Times New Roman" w:cs="Times New Roman"/>
          <w:sz w:val="28"/>
          <w:szCs w:val="28"/>
        </w:rPr>
      </w:pPr>
      <w:r>
        <w:rPr>
          <w:rFonts w:ascii="Times New Roman" w:hAnsi="Times New Roman" w:cs="Times New Roman"/>
          <w:position w:val="-14"/>
          <w:sz w:val="28"/>
          <w:szCs w:val="28"/>
        </w:rPr>
        <w:drawing>
          <wp:inline distT="0" distB="0" distL="0" distR="0">
            <wp:extent cx="400050" cy="257175"/>
            <wp:effectExtent l="0" t="0" r="0" b="0"/>
            <wp:docPr id="40" name="Рисунок 114" descr="base_23792_85543_567"/>
            <wp:cNvGraphicFramePr/>
            <a:graphic xmlns:a="http://schemas.openxmlformats.org/drawingml/2006/main">
              <a:graphicData uri="http://schemas.openxmlformats.org/drawingml/2006/picture">
                <pic:pic xmlns:pic="http://schemas.openxmlformats.org/drawingml/2006/picture">
                  <pic:nvPicPr>
                    <pic:cNvPr id="40" name="Рисунок 114" descr="base_23792_85543_567"/>
                    <pic:cNvPicPr preferRelativeResize="0">
                      <a:picLocks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–цена одного планшетного компьютера по i-й должности.</w:t>
      </w:r>
    </w:p>
    <w:p w14:paraId="747CBA64">
      <w:pPr>
        <w:pStyle w:val="8"/>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№15.</w:t>
      </w:r>
    </w:p>
    <w:p w14:paraId="70079499">
      <w:pPr>
        <w:rPr>
          <w:rFonts w:ascii="Times New Roman" w:hAnsi="Times New Roman" w:eastAsia="Times New Roman" w:cs="Times New Roman"/>
          <w:sz w:val="28"/>
          <w:szCs w:val="28"/>
          <w:lang w:eastAsia="ru-RU"/>
        </w:rPr>
      </w:pPr>
      <w:r>
        <w:rPr>
          <w:rFonts w:ascii="Times New Roman" w:hAnsi="Times New Roman" w:cs="Times New Roman"/>
          <w:sz w:val="28"/>
          <w:szCs w:val="28"/>
        </w:rPr>
        <w:br w:type="page"/>
      </w:r>
    </w:p>
    <w:p w14:paraId="112481A7">
      <w:pPr>
        <w:pStyle w:val="8"/>
        <w:spacing w:line="360" w:lineRule="auto"/>
        <w:ind w:firstLine="709"/>
        <w:jc w:val="both"/>
        <w:rPr>
          <w:rFonts w:ascii="Times New Roman" w:hAnsi="Times New Roman" w:cs="Times New Roman"/>
          <w:sz w:val="28"/>
          <w:szCs w:val="28"/>
        </w:rPr>
        <w:sectPr>
          <w:pgSz w:w="11906" w:h="16838"/>
          <w:pgMar w:top="1418" w:right="567" w:bottom="1134" w:left="1588" w:header="567" w:footer="709" w:gutter="0"/>
          <w:cols w:space="708" w:num="1"/>
          <w:titlePg/>
          <w:docGrid w:linePitch="360" w:charSpace="0"/>
        </w:sectPr>
      </w:pPr>
    </w:p>
    <w:p w14:paraId="43BD5EE0">
      <w:pPr>
        <w:spacing w:after="0" w:line="360" w:lineRule="auto"/>
        <w:ind w:right="-456" w:firstLine="709"/>
        <w:jc w:val="right"/>
        <w:rPr>
          <w:rFonts w:ascii="Times New Roman" w:hAnsi="Times New Roman" w:cs="Times New Roman"/>
          <w:sz w:val="28"/>
          <w:szCs w:val="28"/>
        </w:rPr>
      </w:pPr>
      <w:r>
        <w:rPr>
          <w:rFonts w:ascii="Times New Roman" w:hAnsi="Times New Roman" w:cs="Times New Roman"/>
          <w:sz w:val="28"/>
          <w:szCs w:val="28"/>
        </w:rPr>
        <w:t>Таблица №15</w:t>
      </w:r>
    </w:p>
    <w:p w14:paraId="52ED84A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планшетных компьютеров</w:t>
      </w:r>
    </w:p>
    <w:p w14:paraId="7D05D260">
      <w:pPr>
        <w:widowControl w:val="0"/>
        <w:autoSpaceDE w:val="0"/>
        <w:autoSpaceDN w:val="0"/>
        <w:spacing w:after="0" w:line="360" w:lineRule="auto"/>
        <w:rPr>
          <w:rFonts w:ascii="Times New Roman" w:hAnsi="Times New Roman" w:cs="Times New Roman"/>
          <w:sz w:val="28"/>
          <w:szCs w:val="28"/>
        </w:rPr>
      </w:pPr>
    </w:p>
    <w:tbl>
      <w:tblPr>
        <w:tblStyle w:val="3"/>
        <w:tblW w:w="15134" w:type="dxa"/>
        <w:tblInd w:w="0" w:type="dxa"/>
        <w:tblLayout w:type="fixed"/>
        <w:tblCellMar>
          <w:top w:w="0" w:type="dxa"/>
          <w:left w:w="108" w:type="dxa"/>
          <w:bottom w:w="0" w:type="dxa"/>
          <w:right w:w="108" w:type="dxa"/>
        </w:tblCellMar>
      </w:tblPr>
      <w:tblGrid>
        <w:gridCol w:w="2383"/>
        <w:gridCol w:w="1836"/>
        <w:gridCol w:w="1843"/>
        <w:gridCol w:w="1701"/>
        <w:gridCol w:w="2126"/>
        <w:gridCol w:w="1701"/>
        <w:gridCol w:w="1701"/>
        <w:gridCol w:w="1843"/>
      </w:tblGrid>
      <w:tr w14:paraId="2F7C4A88">
        <w:tblPrEx>
          <w:tblCellMar>
            <w:top w:w="0" w:type="dxa"/>
            <w:left w:w="108" w:type="dxa"/>
            <w:bottom w:w="0" w:type="dxa"/>
            <w:right w:w="108" w:type="dxa"/>
          </w:tblCellMar>
        </w:tblPrEx>
        <w:trPr>
          <w:trHeight w:val="529" w:hRule="atLeast"/>
        </w:trPr>
        <w:tc>
          <w:tcPr>
            <w:tcW w:w="2383" w:type="dxa"/>
            <w:vMerge w:val="restart"/>
            <w:tcBorders>
              <w:top w:val="single" w:color="auto" w:sz="4" w:space="0"/>
              <w:left w:val="single" w:color="auto" w:sz="4" w:space="0"/>
              <w:bottom w:val="single" w:color="auto" w:sz="4" w:space="0"/>
              <w:right w:val="single" w:color="auto" w:sz="4" w:space="0"/>
            </w:tcBorders>
          </w:tcPr>
          <w:p w14:paraId="6364AE6D">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7506" w:type="dxa"/>
            <w:gridSpan w:val="4"/>
            <w:tcBorders>
              <w:top w:val="single" w:color="auto" w:sz="4" w:space="0"/>
              <w:left w:val="single" w:color="auto" w:sz="4" w:space="0"/>
              <w:bottom w:val="single" w:color="auto" w:sz="4" w:space="0"/>
              <w:right w:val="single" w:color="auto" w:sz="4" w:space="0"/>
            </w:tcBorders>
            <w:shd w:val="clear" w:color="auto" w:fill="auto"/>
          </w:tcPr>
          <w:p w14:paraId="288467B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c>
          <w:tcPr>
            <w:tcW w:w="5245" w:type="dxa"/>
            <w:gridSpan w:val="3"/>
            <w:tcBorders>
              <w:top w:val="single" w:color="auto" w:sz="4" w:space="0"/>
              <w:left w:val="single" w:color="auto" w:sz="4" w:space="0"/>
              <w:bottom w:val="single" w:color="auto" w:sz="4" w:space="0"/>
              <w:right w:val="single" w:color="auto" w:sz="4" w:space="0"/>
            </w:tcBorders>
            <w:shd w:val="clear" w:color="auto" w:fill="auto"/>
          </w:tcPr>
          <w:p w14:paraId="7A8A877A">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Подведомственное учреждение Кировское областное государственное казенное учреждение «Агентство инвестиционного развития Кировской области» </w:t>
            </w:r>
          </w:p>
        </w:tc>
      </w:tr>
      <w:tr w14:paraId="21A512C9">
        <w:tblPrEx>
          <w:tblCellMar>
            <w:top w:w="0" w:type="dxa"/>
            <w:left w:w="108" w:type="dxa"/>
            <w:bottom w:w="0" w:type="dxa"/>
            <w:right w:w="108" w:type="dxa"/>
          </w:tblCellMar>
        </w:tblPrEx>
        <w:trPr>
          <w:trHeight w:val="321" w:hRule="atLeast"/>
        </w:trPr>
        <w:tc>
          <w:tcPr>
            <w:tcW w:w="2383" w:type="dxa"/>
            <w:vMerge w:val="continue"/>
            <w:tcBorders>
              <w:top w:val="single" w:color="auto" w:sz="4" w:space="0"/>
              <w:left w:val="single" w:color="auto" w:sz="4" w:space="0"/>
              <w:bottom w:val="single" w:color="auto" w:sz="4" w:space="0"/>
              <w:right w:val="single" w:color="auto" w:sz="4" w:space="0"/>
            </w:tcBorders>
          </w:tcPr>
          <w:p w14:paraId="4E441CF2">
            <w:pPr>
              <w:spacing w:after="0" w:line="240" w:lineRule="auto"/>
              <w:ind w:left="-113" w:right="-88"/>
              <w:jc w:val="center"/>
              <w:rPr>
                <w:rFonts w:ascii="Times New Roman" w:hAnsi="Times New Roman" w:cs="Times New Roman"/>
                <w:sz w:val="18"/>
                <w:szCs w:val="18"/>
              </w:rPr>
            </w:pPr>
          </w:p>
        </w:tc>
        <w:tc>
          <w:tcPr>
            <w:tcW w:w="3679" w:type="dxa"/>
            <w:gridSpan w:val="2"/>
            <w:tcBorders>
              <w:top w:val="single" w:color="auto" w:sz="4" w:space="0"/>
              <w:left w:val="single" w:color="auto" w:sz="4" w:space="0"/>
              <w:bottom w:val="single" w:color="auto" w:sz="4" w:space="0"/>
              <w:right w:val="single" w:color="auto" w:sz="4" w:space="0"/>
            </w:tcBorders>
            <w:shd w:val="clear" w:color="auto" w:fill="auto"/>
          </w:tcPr>
          <w:p w14:paraId="26174C14">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701" w:type="dxa"/>
            <w:vMerge w:val="restart"/>
            <w:tcBorders>
              <w:top w:val="single" w:color="auto" w:sz="4" w:space="0"/>
              <w:left w:val="single" w:color="auto" w:sz="4" w:space="0"/>
              <w:bottom w:val="single" w:color="auto" w:sz="4" w:space="0"/>
              <w:right w:val="single" w:color="auto" w:sz="4" w:space="0"/>
            </w:tcBorders>
            <w:shd w:val="clear" w:color="auto" w:fill="auto"/>
          </w:tcPr>
          <w:p w14:paraId="66CE5EC6">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2126" w:type="dxa"/>
            <w:vMerge w:val="restart"/>
            <w:tcBorders>
              <w:top w:val="single" w:color="auto" w:sz="4" w:space="0"/>
              <w:left w:val="single" w:color="auto" w:sz="4" w:space="0"/>
              <w:right w:val="single" w:color="auto" w:sz="4" w:space="0"/>
            </w:tcBorders>
            <w:shd w:val="clear" w:color="auto" w:fill="auto"/>
          </w:tcPr>
          <w:p w14:paraId="1616C506">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c>
          <w:tcPr>
            <w:tcW w:w="3402" w:type="dxa"/>
            <w:gridSpan w:val="2"/>
            <w:tcBorders>
              <w:top w:val="single" w:color="auto" w:sz="4" w:space="0"/>
              <w:left w:val="single" w:color="auto" w:sz="4" w:space="0"/>
              <w:bottom w:val="single" w:color="auto" w:sz="4" w:space="0"/>
              <w:right w:val="single" w:color="auto" w:sz="4" w:space="0"/>
            </w:tcBorders>
            <w:shd w:val="clear" w:color="auto" w:fill="auto"/>
          </w:tcPr>
          <w:p w14:paraId="02912AA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843" w:type="dxa"/>
            <w:vMerge w:val="restart"/>
            <w:tcBorders>
              <w:top w:val="single" w:color="auto" w:sz="4" w:space="0"/>
              <w:left w:val="single" w:color="auto" w:sz="4" w:space="0"/>
              <w:right w:val="single" w:color="auto" w:sz="4" w:space="0"/>
            </w:tcBorders>
            <w:shd w:val="clear" w:color="auto" w:fill="auto"/>
          </w:tcPr>
          <w:p w14:paraId="161E40B5">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14:paraId="622D8990">
        <w:tblPrEx>
          <w:tblCellMar>
            <w:top w:w="0" w:type="dxa"/>
            <w:left w:w="108" w:type="dxa"/>
            <w:bottom w:w="0" w:type="dxa"/>
            <w:right w:w="108" w:type="dxa"/>
          </w:tblCellMar>
        </w:tblPrEx>
        <w:trPr>
          <w:trHeight w:val="699" w:hRule="atLeast"/>
        </w:trPr>
        <w:tc>
          <w:tcPr>
            <w:tcW w:w="2383" w:type="dxa"/>
            <w:vMerge w:val="continue"/>
            <w:tcBorders>
              <w:top w:val="single" w:color="auto" w:sz="4" w:space="0"/>
              <w:left w:val="single" w:color="auto" w:sz="4" w:space="0"/>
              <w:bottom w:val="single" w:color="auto" w:sz="4" w:space="0"/>
              <w:right w:val="single" w:color="auto" w:sz="4" w:space="0"/>
            </w:tcBorders>
          </w:tcPr>
          <w:p w14:paraId="54CE67E2">
            <w:pPr>
              <w:spacing w:after="0" w:line="240" w:lineRule="auto"/>
              <w:ind w:left="-113" w:right="-88"/>
              <w:jc w:val="center"/>
              <w:rPr>
                <w:rFonts w:ascii="Times New Roman" w:hAnsi="Times New Roman" w:cs="Times New Roman"/>
                <w:sz w:val="18"/>
                <w:szCs w:val="18"/>
              </w:rPr>
            </w:pPr>
          </w:p>
        </w:tc>
        <w:tc>
          <w:tcPr>
            <w:tcW w:w="1836" w:type="dxa"/>
            <w:tcBorders>
              <w:top w:val="single" w:color="auto" w:sz="4" w:space="0"/>
              <w:left w:val="single" w:color="auto" w:sz="4" w:space="0"/>
              <w:bottom w:val="single" w:color="auto" w:sz="4" w:space="0"/>
              <w:right w:val="single" w:color="auto" w:sz="4" w:space="0"/>
            </w:tcBorders>
            <w:shd w:val="clear" w:color="auto" w:fill="auto"/>
          </w:tcPr>
          <w:p w14:paraId="0D743228">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3DB4CEF8">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701" w:type="dxa"/>
            <w:vMerge w:val="continue"/>
            <w:tcBorders>
              <w:top w:val="single" w:color="auto" w:sz="4" w:space="0"/>
              <w:left w:val="single" w:color="auto" w:sz="4" w:space="0"/>
              <w:bottom w:val="single" w:color="auto" w:sz="4" w:space="0"/>
              <w:right w:val="single" w:color="auto" w:sz="4" w:space="0"/>
            </w:tcBorders>
            <w:shd w:val="clear" w:color="auto" w:fill="auto"/>
          </w:tcPr>
          <w:p w14:paraId="5C74E0E6">
            <w:pPr>
              <w:spacing w:after="0" w:line="240" w:lineRule="auto"/>
              <w:ind w:left="-113" w:right="-88"/>
              <w:jc w:val="center"/>
              <w:rPr>
                <w:rFonts w:ascii="Times New Roman" w:hAnsi="Times New Roman" w:cs="Times New Roman"/>
                <w:sz w:val="18"/>
                <w:szCs w:val="18"/>
              </w:rPr>
            </w:pPr>
          </w:p>
        </w:tc>
        <w:tc>
          <w:tcPr>
            <w:tcW w:w="2126" w:type="dxa"/>
            <w:vMerge w:val="continue"/>
            <w:tcBorders>
              <w:left w:val="single" w:color="auto" w:sz="4" w:space="0"/>
              <w:bottom w:val="single" w:color="auto" w:sz="4" w:space="0"/>
              <w:right w:val="single" w:color="auto" w:sz="4" w:space="0"/>
            </w:tcBorders>
          </w:tcPr>
          <w:p w14:paraId="0AE4CB79">
            <w:pPr>
              <w:spacing w:after="0" w:line="240" w:lineRule="auto"/>
              <w:ind w:left="-113" w:right="-88"/>
              <w:jc w:val="center"/>
              <w:rPr>
                <w:rFonts w:ascii="Times New Roman" w:hAnsi="Times New Roman" w:cs="Times New Roman"/>
                <w:sz w:val="18"/>
                <w:szCs w:val="18"/>
              </w:rPr>
            </w:pPr>
          </w:p>
        </w:tc>
        <w:tc>
          <w:tcPr>
            <w:tcW w:w="1701" w:type="dxa"/>
            <w:tcBorders>
              <w:top w:val="single" w:color="auto" w:sz="4" w:space="0"/>
              <w:left w:val="single" w:color="auto" w:sz="4" w:space="0"/>
              <w:bottom w:val="single" w:color="auto" w:sz="4" w:space="0"/>
              <w:right w:val="single" w:color="auto" w:sz="4" w:space="0"/>
            </w:tcBorders>
            <w:shd w:val="clear" w:color="auto" w:fill="auto"/>
          </w:tcPr>
          <w:p w14:paraId="065E945D">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701" w:type="dxa"/>
            <w:tcBorders>
              <w:top w:val="single" w:color="auto" w:sz="4" w:space="0"/>
              <w:left w:val="single" w:color="auto" w:sz="4" w:space="0"/>
              <w:bottom w:val="single" w:color="auto" w:sz="4" w:space="0"/>
              <w:right w:val="single" w:color="auto" w:sz="4" w:space="0"/>
            </w:tcBorders>
            <w:shd w:val="clear" w:color="auto" w:fill="auto"/>
          </w:tcPr>
          <w:p w14:paraId="756E581F">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843" w:type="dxa"/>
            <w:vMerge w:val="continue"/>
            <w:tcBorders>
              <w:left w:val="single" w:color="auto" w:sz="4" w:space="0"/>
              <w:bottom w:val="single" w:color="auto" w:sz="4" w:space="0"/>
              <w:right w:val="single" w:color="auto" w:sz="4" w:space="0"/>
            </w:tcBorders>
            <w:shd w:val="clear" w:color="auto" w:fill="auto"/>
          </w:tcPr>
          <w:p w14:paraId="2537A123">
            <w:pPr>
              <w:spacing w:after="0" w:line="240" w:lineRule="auto"/>
              <w:ind w:left="-113" w:right="-88"/>
              <w:jc w:val="center"/>
              <w:rPr>
                <w:rFonts w:ascii="Times New Roman" w:hAnsi="Times New Roman" w:cs="Times New Roman"/>
                <w:sz w:val="18"/>
                <w:szCs w:val="18"/>
              </w:rPr>
            </w:pPr>
          </w:p>
        </w:tc>
      </w:tr>
      <w:tr w14:paraId="6E49253A">
        <w:tblPrEx>
          <w:tblCellMar>
            <w:top w:w="0" w:type="dxa"/>
            <w:left w:w="108" w:type="dxa"/>
            <w:bottom w:w="0" w:type="dxa"/>
            <w:right w:w="108" w:type="dxa"/>
          </w:tblCellMar>
        </w:tblPrEx>
        <w:trPr>
          <w:trHeight w:val="137" w:hRule="atLeast"/>
        </w:trPr>
        <w:tc>
          <w:tcPr>
            <w:tcW w:w="2383" w:type="dxa"/>
            <w:tcBorders>
              <w:top w:val="single" w:color="auto" w:sz="4" w:space="0"/>
              <w:left w:val="single" w:color="auto" w:sz="4" w:space="0"/>
              <w:bottom w:val="single" w:color="auto" w:sz="4" w:space="0"/>
              <w:right w:val="single" w:color="auto" w:sz="4" w:space="0"/>
            </w:tcBorders>
          </w:tcPr>
          <w:p w14:paraId="08034EF4">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36" w:type="dxa"/>
            <w:tcBorders>
              <w:top w:val="single" w:color="auto" w:sz="4" w:space="0"/>
              <w:left w:val="single" w:color="auto" w:sz="4" w:space="0"/>
              <w:bottom w:val="single" w:color="auto" w:sz="4" w:space="0"/>
              <w:right w:val="single" w:color="auto" w:sz="4" w:space="0"/>
            </w:tcBorders>
            <w:shd w:val="clear" w:color="auto" w:fill="auto"/>
          </w:tcPr>
          <w:p w14:paraId="01F8A0DD">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3A3FF6E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701" w:type="dxa"/>
            <w:tcBorders>
              <w:top w:val="single" w:color="auto" w:sz="4" w:space="0"/>
              <w:left w:val="single" w:color="auto" w:sz="4" w:space="0"/>
              <w:bottom w:val="single" w:color="auto" w:sz="4" w:space="0"/>
              <w:right w:val="single" w:color="auto" w:sz="4" w:space="0"/>
            </w:tcBorders>
          </w:tcPr>
          <w:p w14:paraId="42F0EE97">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2126" w:type="dxa"/>
            <w:tcBorders>
              <w:top w:val="single" w:color="auto" w:sz="4" w:space="0"/>
              <w:left w:val="single" w:color="auto" w:sz="4" w:space="0"/>
              <w:bottom w:val="single" w:color="auto" w:sz="4" w:space="0"/>
              <w:right w:val="single" w:color="auto" w:sz="4" w:space="0"/>
            </w:tcBorders>
          </w:tcPr>
          <w:p w14:paraId="2FFDF77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1701" w:type="dxa"/>
            <w:tcBorders>
              <w:top w:val="single" w:color="auto" w:sz="4" w:space="0"/>
              <w:left w:val="single" w:color="auto" w:sz="4" w:space="0"/>
              <w:bottom w:val="single" w:color="auto" w:sz="4" w:space="0"/>
              <w:right w:val="single" w:color="auto" w:sz="4" w:space="0"/>
            </w:tcBorders>
            <w:shd w:val="clear" w:color="auto" w:fill="auto"/>
          </w:tcPr>
          <w:p w14:paraId="3D0A62B2">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6</w:t>
            </w:r>
          </w:p>
        </w:tc>
        <w:tc>
          <w:tcPr>
            <w:tcW w:w="1701" w:type="dxa"/>
            <w:tcBorders>
              <w:top w:val="single" w:color="auto" w:sz="4" w:space="0"/>
              <w:left w:val="single" w:color="auto" w:sz="4" w:space="0"/>
              <w:bottom w:val="single" w:color="auto" w:sz="4" w:space="0"/>
              <w:right w:val="single" w:color="auto" w:sz="4" w:space="0"/>
            </w:tcBorders>
            <w:shd w:val="clear" w:color="auto" w:fill="auto"/>
          </w:tcPr>
          <w:p w14:paraId="52792CCA">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7</w:t>
            </w:r>
          </w:p>
        </w:tc>
        <w:tc>
          <w:tcPr>
            <w:tcW w:w="1843" w:type="dxa"/>
            <w:tcBorders>
              <w:top w:val="single" w:color="auto" w:sz="4" w:space="0"/>
              <w:left w:val="single" w:color="auto" w:sz="4" w:space="0"/>
              <w:bottom w:val="single" w:color="auto" w:sz="4" w:space="0"/>
              <w:right w:val="single" w:color="auto" w:sz="4" w:space="0"/>
            </w:tcBorders>
          </w:tcPr>
          <w:p w14:paraId="0DB83154">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8</w:t>
            </w:r>
          </w:p>
        </w:tc>
      </w:tr>
      <w:tr w14:paraId="42478AEB">
        <w:tblPrEx>
          <w:tblCellMar>
            <w:top w:w="0" w:type="dxa"/>
            <w:left w:w="108" w:type="dxa"/>
            <w:bottom w:w="0" w:type="dxa"/>
            <w:right w:w="108" w:type="dxa"/>
          </w:tblCellMar>
        </w:tblPrEx>
        <w:trPr>
          <w:trHeight w:val="137" w:hRule="atLeast"/>
        </w:trPr>
        <w:tc>
          <w:tcPr>
            <w:tcW w:w="2383" w:type="dxa"/>
            <w:tcBorders>
              <w:top w:val="single" w:color="auto" w:sz="4" w:space="0"/>
              <w:left w:val="single" w:color="auto" w:sz="4" w:space="0"/>
              <w:bottom w:val="single" w:color="auto" w:sz="4" w:space="0"/>
              <w:right w:val="single" w:color="auto" w:sz="4" w:space="0"/>
            </w:tcBorders>
          </w:tcPr>
          <w:p w14:paraId="07260761">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w:t>
            </w:r>
          </w:p>
        </w:tc>
        <w:tc>
          <w:tcPr>
            <w:tcW w:w="1836" w:type="dxa"/>
            <w:tcBorders>
              <w:top w:val="single" w:color="auto" w:sz="4" w:space="0"/>
              <w:left w:val="single" w:color="auto" w:sz="4" w:space="0"/>
              <w:bottom w:val="single" w:color="auto" w:sz="4" w:space="0"/>
              <w:right w:val="single" w:color="auto" w:sz="4" w:space="0"/>
            </w:tcBorders>
            <w:shd w:val="clear" w:color="auto" w:fill="auto"/>
          </w:tcPr>
          <w:p w14:paraId="58F5B787">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658EA516">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701" w:type="dxa"/>
            <w:tcBorders>
              <w:top w:val="single" w:color="auto" w:sz="4" w:space="0"/>
              <w:left w:val="single" w:color="auto" w:sz="4" w:space="0"/>
              <w:bottom w:val="single" w:color="auto" w:sz="4" w:space="0"/>
              <w:right w:val="single" w:color="auto" w:sz="4" w:space="0"/>
            </w:tcBorders>
          </w:tcPr>
          <w:p w14:paraId="2C601E2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126" w:type="dxa"/>
            <w:tcBorders>
              <w:top w:val="single" w:color="auto" w:sz="4" w:space="0"/>
              <w:left w:val="single" w:color="auto" w:sz="4" w:space="0"/>
              <w:bottom w:val="single" w:color="auto" w:sz="4" w:space="0"/>
              <w:right w:val="single" w:color="auto" w:sz="4" w:space="0"/>
            </w:tcBorders>
          </w:tcPr>
          <w:p w14:paraId="7E726E60">
            <w:pPr>
              <w:spacing w:after="0" w:line="240" w:lineRule="auto"/>
              <w:jc w:val="center"/>
              <w:rPr>
                <w:rFonts w:ascii="Times New Roman" w:hAnsi="Times New Roman" w:cs="Times New Roman"/>
                <w:sz w:val="18"/>
                <w:szCs w:val="18"/>
              </w:rPr>
            </w:pPr>
          </w:p>
        </w:tc>
        <w:tc>
          <w:tcPr>
            <w:tcW w:w="1701" w:type="dxa"/>
            <w:tcBorders>
              <w:top w:val="single" w:color="auto" w:sz="4" w:space="0"/>
              <w:left w:val="single" w:color="auto" w:sz="4" w:space="0"/>
              <w:bottom w:val="single" w:color="auto" w:sz="4" w:space="0"/>
              <w:right w:val="single" w:color="auto" w:sz="4" w:space="0"/>
            </w:tcBorders>
            <w:shd w:val="clear" w:color="auto" w:fill="auto"/>
          </w:tcPr>
          <w:p w14:paraId="07014467">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701" w:type="dxa"/>
            <w:tcBorders>
              <w:top w:val="single" w:color="auto" w:sz="4" w:space="0"/>
              <w:left w:val="single" w:color="auto" w:sz="4" w:space="0"/>
              <w:bottom w:val="single" w:color="auto" w:sz="4" w:space="0"/>
              <w:right w:val="single" w:color="auto" w:sz="4" w:space="0"/>
            </w:tcBorders>
            <w:shd w:val="clear" w:color="auto" w:fill="auto"/>
          </w:tcPr>
          <w:p w14:paraId="56A9C9B5">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1 </w:t>
            </w:r>
          </w:p>
        </w:tc>
        <w:tc>
          <w:tcPr>
            <w:tcW w:w="1843" w:type="dxa"/>
            <w:tcBorders>
              <w:top w:val="single" w:color="auto" w:sz="4" w:space="0"/>
              <w:left w:val="single" w:color="auto" w:sz="4" w:space="0"/>
              <w:bottom w:val="single" w:color="auto" w:sz="4" w:space="0"/>
              <w:right w:val="single" w:color="auto" w:sz="4" w:space="0"/>
            </w:tcBorders>
          </w:tcPr>
          <w:p w14:paraId="4AABF7A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 - </w:t>
            </w:r>
          </w:p>
        </w:tc>
      </w:tr>
      <w:tr w14:paraId="653E2F6C">
        <w:tblPrEx>
          <w:tblCellMar>
            <w:top w:w="0" w:type="dxa"/>
            <w:left w:w="108" w:type="dxa"/>
            <w:bottom w:w="0" w:type="dxa"/>
            <w:right w:w="108" w:type="dxa"/>
          </w:tblCellMar>
        </w:tblPrEx>
        <w:trPr>
          <w:trHeight w:val="137" w:hRule="atLeast"/>
        </w:trPr>
        <w:tc>
          <w:tcPr>
            <w:tcW w:w="2383" w:type="dxa"/>
            <w:tcBorders>
              <w:top w:val="single" w:color="auto" w:sz="4" w:space="0"/>
              <w:left w:val="single" w:color="auto" w:sz="4" w:space="0"/>
              <w:bottom w:val="single" w:color="auto" w:sz="4" w:space="0"/>
              <w:right w:val="single" w:color="auto" w:sz="4" w:space="0"/>
            </w:tcBorders>
          </w:tcPr>
          <w:p w14:paraId="4DA93263">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1836" w:type="dxa"/>
            <w:tcBorders>
              <w:top w:val="single" w:color="auto" w:sz="4" w:space="0"/>
              <w:left w:val="single" w:color="auto" w:sz="4" w:space="0"/>
              <w:bottom w:val="single" w:color="auto" w:sz="4" w:space="0"/>
              <w:right w:val="single" w:color="auto" w:sz="4" w:space="0"/>
            </w:tcBorders>
            <w:shd w:val="clear" w:color="auto" w:fill="auto"/>
          </w:tcPr>
          <w:p w14:paraId="6EFED1B6">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82 000,00</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40C0137A">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60 000,00</w:t>
            </w:r>
          </w:p>
        </w:tc>
        <w:tc>
          <w:tcPr>
            <w:tcW w:w="1701" w:type="dxa"/>
            <w:tcBorders>
              <w:top w:val="single" w:color="auto" w:sz="4" w:space="0"/>
              <w:left w:val="single" w:color="auto" w:sz="4" w:space="0"/>
              <w:bottom w:val="single" w:color="auto" w:sz="4" w:space="0"/>
              <w:right w:val="single" w:color="auto" w:sz="4" w:space="0"/>
            </w:tcBorders>
          </w:tcPr>
          <w:p w14:paraId="23B7F994">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50 000,00</w:t>
            </w:r>
          </w:p>
        </w:tc>
        <w:tc>
          <w:tcPr>
            <w:tcW w:w="2126" w:type="dxa"/>
            <w:tcBorders>
              <w:top w:val="single" w:color="auto" w:sz="4" w:space="0"/>
              <w:left w:val="single" w:color="auto" w:sz="4" w:space="0"/>
              <w:bottom w:val="single" w:color="auto" w:sz="4" w:space="0"/>
              <w:right w:val="single" w:color="auto" w:sz="4" w:space="0"/>
            </w:tcBorders>
          </w:tcPr>
          <w:p w14:paraId="63EE5677">
            <w:pPr>
              <w:spacing w:after="0" w:line="240" w:lineRule="auto"/>
              <w:ind w:left="-113" w:right="-88"/>
              <w:jc w:val="center"/>
              <w:rPr>
                <w:rFonts w:ascii="Times New Roman" w:hAnsi="Times New Roman" w:cs="Times New Roman"/>
                <w:sz w:val="18"/>
                <w:szCs w:val="18"/>
              </w:rPr>
            </w:pPr>
          </w:p>
        </w:tc>
        <w:tc>
          <w:tcPr>
            <w:tcW w:w="1701" w:type="dxa"/>
            <w:tcBorders>
              <w:top w:val="single" w:color="auto" w:sz="4" w:space="0"/>
              <w:left w:val="single" w:color="auto" w:sz="4" w:space="0"/>
              <w:bottom w:val="single" w:color="auto" w:sz="4" w:space="0"/>
              <w:right w:val="single" w:color="auto" w:sz="4" w:space="0"/>
            </w:tcBorders>
            <w:shd w:val="clear" w:color="auto" w:fill="auto"/>
          </w:tcPr>
          <w:p w14:paraId="4977F9CF">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40 000,00</w:t>
            </w:r>
          </w:p>
        </w:tc>
        <w:tc>
          <w:tcPr>
            <w:tcW w:w="1701" w:type="dxa"/>
            <w:tcBorders>
              <w:top w:val="single" w:color="auto" w:sz="4" w:space="0"/>
              <w:left w:val="single" w:color="auto" w:sz="4" w:space="0"/>
              <w:bottom w:val="single" w:color="auto" w:sz="4" w:space="0"/>
              <w:right w:val="single" w:color="auto" w:sz="4" w:space="0"/>
            </w:tcBorders>
            <w:shd w:val="clear" w:color="auto" w:fill="auto"/>
          </w:tcPr>
          <w:p w14:paraId="1AB7473A">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40 000,00 </w:t>
            </w:r>
          </w:p>
        </w:tc>
        <w:tc>
          <w:tcPr>
            <w:tcW w:w="1843" w:type="dxa"/>
            <w:tcBorders>
              <w:top w:val="single" w:color="auto" w:sz="4" w:space="0"/>
              <w:left w:val="single" w:color="auto" w:sz="4" w:space="0"/>
              <w:bottom w:val="single" w:color="auto" w:sz="4" w:space="0"/>
              <w:right w:val="single" w:color="auto" w:sz="4" w:space="0"/>
            </w:tcBorders>
          </w:tcPr>
          <w:p w14:paraId="04344B6C">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 - </w:t>
            </w:r>
          </w:p>
        </w:tc>
      </w:tr>
    </w:tbl>
    <w:p w14:paraId="1DAE1D20">
      <w:pPr>
        <w:pStyle w:val="8"/>
        <w:spacing w:line="360" w:lineRule="auto"/>
        <w:ind w:firstLine="709"/>
        <w:jc w:val="both"/>
        <w:rPr>
          <w:rFonts w:ascii="Times New Roman" w:hAnsi="Times New Roman" w:cs="Times New Roman"/>
          <w:sz w:val="28"/>
          <w:szCs w:val="28"/>
        </w:rPr>
      </w:pPr>
    </w:p>
    <w:p w14:paraId="3BA014C4">
      <w:pPr>
        <w:rPr>
          <w:rFonts w:ascii="Times New Roman" w:hAnsi="Times New Roman" w:eastAsia="Times New Roman" w:cs="Times New Roman"/>
          <w:sz w:val="28"/>
          <w:szCs w:val="28"/>
          <w:lang w:eastAsia="ru-RU"/>
        </w:rPr>
      </w:pPr>
      <w:r>
        <w:rPr>
          <w:rFonts w:ascii="Times New Roman" w:hAnsi="Times New Roman" w:cs="Times New Roman"/>
          <w:sz w:val="28"/>
          <w:szCs w:val="28"/>
        </w:rPr>
        <w:t>*Количество планшетных компьютеров, ноутбуков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и учреждения.</w:t>
      </w:r>
      <w:r>
        <w:rPr>
          <w:rFonts w:ascii="Times New Roman" w:hAnsi="Times New Roman" w:cs="Times New Roman"/>
          <w:sz w:val="28"/>
          <w:szCs w:val="28"/>
        </w:rPr>
        <w:br w:type="page"/>
      </w:r>
    </w:p>
    <w:p w14:paraId="12FA5384">
      <w:pPr>
        <w:pStyle w:val="8"/>
        <w:spacing w:line="360" w:lineRule="auto"/>
        <w:ind w:firstLine="709"/>
        <w:jc w:val="both"/>
        <w:rPr>
          <w:rFonts w:ascii="Times New Roman" w:hAnsi="Times New Roman" w:cs="Times New Roman"/>
          <w:sz w:val="28"/>
          <w:szCs w:val="28"/>
        </w:rPr>
        <w:sectPr>
          <w:pgSz w:w="16838" w:h="11906" w:orient="landscape"/>
          <w:pgMar w:top="1588" w:right="1418" w:bottom="567" w:left="1134" w:header="567" w:footer="709" w:gutter="0"/>
          <w:cols w:space="708" w:num="1"/>
          <w:titlePg/>
          <w:docGrid w:linePitch="360" w:charSpace="0"/>
        </w:sectPr>
      </w:pPr>
    </w:p>
    <w:p w14:paraId="798A0BF1">
      <w:pPr>
        <w:pStyle w:val="8"/>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4.4. Затраты на приобретение ноутбуков (З</w:t>
      </w:r>
      <w:r>
        <w:rPr>
          <w:rFonts w:ascii="Times New Roman" w:hAnsi="Times New Roman" w:cs="Times New Roman"/>
          <w:sz w:val="28"/>
          <w:szCs w:val="28"/>
          <w:vertAlign w:val="subscript"/>
        </w:rPr>
        <w:t>ноут</w:t>
      </w:r>
      <w:r>
        <w:rPr>
          <w:rFonts w:ascii="Times New Roman" w:hAnsi="Times New Roman" w:cs="Times New Roman"/>
          <w:sz w:val="28"/>
          <w:szCs w:val="28"/>
        </w:rPr>
        <w:t>), определяемые по формуле:</w:t>
      </w:r>
    </w:p>
    <w:p w14:paraId="7E68654C">
      <w:pPr>
        <w:pStyle w:val="8"/>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m:rPr/>
                <w:rPr>
                  <w:rFonts w:ascii="Cambria Math" w:hAnsi="Cambria Math" w:cs="Times New Roman"/>
                  <w:sz w:val="28"/>
                  <w:szCs w:val="28"/>
                </w:rPr>
                <m:t>З</m:t>
              </m:r>
              <m:ctrlPr>
                <w:rPr>
                  <w:rFonts w:ascii="Cambria Math" w:hAnsi="Cambria Math" w:cs="Times New Roman"/>
                  <w:i/>
                  <w:sz w:val="28"/>
                  <w:szCs w:val="28"/>
                </w:rPr>
              </m:ctrlPr>
            </m:e>
            <m:sub>
              <m:r>
                <m:rPr/>
                <w:rPr>
                  <w:rFonts w:ascii="Cambria Math" w:hAnsi="Cambria Math" w:cs="Times New Roman"/>
                  <w:sz w:val="28"/>
                  <w:szCs w:val="28"/>
                </w:rPr>
                <m:t>ноут</m:t>
              </m:r>
              <m:ctrlPr>
                <w:rPr>
                  <w:rFonts w:ascii="Cambria Math" w:hAnsi="Cambria Math" w:cs="Times New Roman"/>
                  <w:i/>
                  <w:sz w:val="28"/>
                  <w:szCs w:val="28"/>
                </w:rPr>
              </m:ctrlPr>
            </m:sub>
          </m:sSub>
          <m:r>
            <m:rPr/>
            <w:rPr>
              <w:rFonts w:ascii="Cambria Math" w:hAnsi="Cambria Math" w:cs="Times New Roman"/>
              <w:sz w:val="28"/>
              <w:szCs w:val="28"/>
            </w:rPr>
            <m:t>=</m:t>
          </m:r>
          <m:nary>
            <m:naryPr>
              <m:chr m:val="∑"/>
              <m:limLoc m:val="undOvr"/>
              <m:ctrlPr>
                <w:rPr>
                  <w:rFonts w:ascii="Cambria Math" w:hAnsi="Cambria Math" w:cs="Times New Roman"/>
                  <w:i/>
                  <w:sz w:val="28"/>
                  <w:szCs w:val="28"/>
                </w:rPr>
              </m:ctrlPr>
            </m:naryPr>
            <m:sub>
              <m:r>
                <m:rPr/>
                <w:rPr>
                  <w:rFonts w:ascii="Cambria Math" w:hAnsi="Cambria Math" w:cs="Times New Roman"/>
                  <w:sz w:val="28"/>
                  <w:szCs w:val="28"/>
                </w:rPr>
                <m:t>i=1</m:t>
              </m:r>
              <m:ctrlPr>
                <w:rPr>
                  <w:rFonts w:ascii="Cambria Math" w:hAnsi="Cambria Math" w:cs="Times New Roman"/>
                  <w:i/>
                  <w:sz w:val="28"/>
                  <w:szCs w:val="28"/>
                </w:rPr>
              </m:ctrlPr>
            </m:sub>
            <m:sup>
              <m:r>
                <m:rPr/>
                <w:rPr>
                  <w:rFonts w:ascii="Cambria Math" w:hAnsi="Cambria Math" w:cs="Times New Roman"/>
                  <w:sz w:val="28"/>
                  <w:szCs w:val="28"/>
                  <w:lang w:val="en-US"/>
                </w:rPr>
                <m:t>n</m:t>
              </m:r>
              <m:ctrlPr>
                <w:rPr>
                  <w:rFonts w:ascii="Cambria Math" w:hAnsi="Cambria Math" w:cs="Times New Roman"/>
                  <w:i/>
                  <w:sz w:val="28"/>
                  <w:szCs w:val="28"/>
                </w:rPr>
              </m:ctrlPr>
            </m:sup>
            <m:e>
              <m:sSub>
                <m:sSubPr>
                  <m:ctrlPr>
                    <w:rPr>
                      <w:rFonts w:ascii="Cambria Math" w:hAnsi="Cambria Math" w:cs="Times New Roman"/>
                      <w:i/>
                      <w:sz w:val="28"/>
                      <w:szCs w:val="28"/>
                    </w:rPr>
                  </m:ctrlPr>
                </m:sSubPr>
                <m:e>
                  <m:r>
                    <m:rPr/>
                    <w:rPr>
                      <w:rFonts w:ascii="Cambria Math" w:hAnsi="Cambria Math" w:cs="Times New Roman"/>
                      <w:sz w:val="28"/>
                      <w:szCs w:val="28"/>
                    </w:rPr>
                    <m:t>Q</m:t>
                  </m:r>
                  <m:ctrlPr>
                    <w:rPr>
                      <w:rFonts w:ascii="Cambria Math" w:hAnsi="Cambria Math" w:cs="Times New Roman"/>
                      <w:i/>
                      <w:sz w:val="28"/>
                      <w:szCs w:val="28"/>
                    </w:rPr>
                  </m:ctrlPr>
                </m:e>
                <m:sub>
                  <m:r>
                    <m:rPr/>
                    <w:rPr>
                      <w:rFonts w:ascii="Cambria Math" w:hAnsi="Cambria Math" w:cs="Times New Roman"/>
                      <w:sz w:val="28"/>
                      <w:szCs w:val="28"/>
                    </w:rPr>
                    <m:t>ноут</m:t>
                  </m:r>
                  <m:ctrlPr>
                    <w:rPr>
                      <w:rFonts w:ascii="Cambria Math" w:hAnsi="Cambria Math" w:cs="Times New Roman"/>
                      <w:i/>
                      <w:sz w:val="28"/>
                      <w:szCs w:val="28"/>
                    </w:rPr>
                  </m:ctrlPr>
                </m:sub>
              </m:sSub>
              <m:r>
                <m:rPr/>
                <w:rPr>
                  <w:rFonts w:ascii="Cambria Math" w:hAnsi="Cambria Math" w:cs="Times New Roman"/>
                  <w:sz w:val="28"/>
                  <w:szCs w:val="28"/>
                </w:rPr>
                <m:t>×</m:t>
              </m:r>
              <m:sSub>
                <m:sSubPr>
                  <m:ctrlPr>
                    <w:rPr>
                      <w:rFonts w:ascii="Cambria Math" w:hAnsi="Cambria Math" w:cs="Times New Roman"/>
                      <w:i/>
                      <w:sz w:val="28"/>
                      <w:szCs w:val="28"/>
                    </w:rPr>
                  </m:ctrlPr>
                </m:sSubPr>
                <m:e>
                  <m:r>
                    <m:rPr/>
                    <w:rPr>
                      <w:rFonts w:ascii="Cambria Math" w:hAnsi="Cambria Math" w:cs="Times New Roman"/>
                      <w:sz w:val="28"/>
                      <w:szCs w:val="28"/>
                      <w:lang w:val="en-US"/>
                    </w:rPr>
                    <m:t>P</m:t>
                  </m:r>
                  <m:ctrlPr>
                    <w:rPr>
                      <w:rFonts w:ascii="Cambria Math" w:hAnsi="Cambria Math" w:cs="Times New Roman"/>
                      <w:i/>
                      <w:sz w:val="28"/>
                      <w:szCs w:val="28"/>
                    </w:rPr>
                  </m:ctrlPr>
                </m:e>
                <m:sub>
                  <m:r>
                    <m:rPr/>
                    <w:rPr>
                      <w:rFonts w:ascii="Cambria Math" w:hAnsi="Cambria Math" w:cs="Times New Roman"/>
                      <w:sz w:val="28"/>
                      <w:szCs w:val="28"/>
                    </w:rPr>
                    <m:t>i ноут</m:t>
                  </m:r>
                  <m:ctrlPr>
                    <w:rPr>
                      <w:rFonts w:ascii="Cambria Math" w:hAnsi="Cambria Math" w:cs="Times New Roman"/>
                      <w:i/>
                      <w:sz w:val="28"/>
                      <w:szCs w:val="28"/>
                    </w:rPr>
                  </m:ctrlPr>
                </m:sub>
              </m:sSub>
              <m:ctrlPr>
                <w:rPr>
                  <w:rFonts w:ascii="Cambria Math" w:hAnsi="Cambria Math" w:cs="Times New Roman"/>
                  <w:i/>
                  <w:sz w:val="28"/>
                  <w:szCs w:val="28"/>
                </w:rPr>
              </m:ctrlPr>
            </m:e>
          </m:nary>
          <m:r>
            <m:rPr/>
            <w:rPr>
              <w:rFonts w:ascii="Cambria Math" w:hAnsi="Cambria Math" w:cs="Times New Roman"/>
              <w:sz w:val="28"/>
              <w:szCs w:val="28"/>
            </w:rPr>
            <m:t>, где</m:t>
          </m:r>
        </m:oMath>
      </m:oMathPara>
    </w:p>
    <w:p w14:paraId="3FF91243">
      <w:pPr>
        <w:pStyle w:val="8"/>
        <w:spacing w:line="360" w:lineRule="auto"/>
        <w:ind w:firstLine="709"/>
        <w:jc w:val="center"/>
        <w:rPr>
          <w:rFonts w:ascii="Times New Roman" w:hAnsi="Times New Roman" w:cs="Times New Roman"/>
          <w:sz w:val="28"/>
          <w:szCs w:val="28"/>
        </w:rPr>
      </w:pPr>
    </w:p>
    <w:p w14:paraId="513E7BF7">
      <w:pPr>
        <w:pStyle w:val="8"/>
        <w:spacing w:line="360" w:lineRule="auto"/>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m:rPr/>
              <w:rPr>
                <w:rFonts w:ascii="Cambria Math" w:hAnsi="Cambria Math" w:cs="Times New Roman"/>
                <w:sz w:val="28"/>
                <w:szCs w:val="28"/>
              </w:rPr>
              <m:t>Q</m:t>
            </m:r>
            <m:ctrlPr>
              <w:rPr>
                <w:rFonts w:ascii="Cambria Math" w:hAnsi="Cambria Math" w:cs="Times New Roman"/>
                <w:i/>
                <w:sz w:val="28"/>
                <w:szCs w:val="28"/>
              </w:rPr>
            </m:ctrlPr>
          </m:e>
          <m:sub>
            <m:r>
              <m:rPr/>
              <w:rPr>
                <w:rFonts w:ascii="Cambria Math" w:hAnsi="Cambria Math" w:cs="Times New Roman"/>
                <w:sz w:val="28"/>
                <w:szCs w:val="28"/>
              </w:rPr>
              <m:t>ноут</m:t>
            </m:r>
            <m:ctrlPr>
              <w:rPr>
                <w:rFonts w:ascii="Cambria Math" w:hAnsi="Cambria Math" w:cs="Times New Roman"/>
                <w:i/>
                <w:sz w:val="28"/>
                <w:szCs w:val="28"/>
              </w:rPr>
            </m:ctrlPr>
          </m:sub>
        </m:sSub>
      </m:oMath>
      <w:r>
        <w:rPr>
          <w:rFonts w:ascii="Times New Roman" w:hAnsi="Times New Roman" w:cs="Times New Roman"/>
          <w:sz w:val="28"/>
          <w:szCs w:val="28"/>
        </w:rPr>
        <w:t xml:space="preserve"> – количество ноутбуков по i-й должности;</w:t>
      </w:r>
    </w:p>
    <w:p w14:paraId="65269496">
      <w:pPr>
        <w:pStyle w:val="8"/>
        <w:spacing w:line="360" w:lineRule="auto"/>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m:rPr/>
              <w:rPr>
                <w:rFonts w:ascii="Cambria Math" w:hAnsi="Cambria Math" w:cs="Times New Roman"/>
                <w:sz w:val="28"/>
                <w:szCs w:val="28"/>
                <w:lang w:val="en-US"/>
              </w:rPr>
              <m:t>P</m:t>
            </m:r>
            <m:ctrlPr>
              <w:rPr>
                <w:rFonts w:ascii="Cambria Math" w:hAnsi="Cambria Math" w:cs="Times New Roman"/>
                <w:i/>
                <w:sz w:val="28"/>
                <w:szCs w:val="28"/>
              </w:rPr>
            </m:ctrlPr>
          </m:e>
          <m:sub>
            <m:r>
              <m:rPr/>
              <w:rPr>
                <w:rFonts w:ascii="Cambria Math" w:hAnsi="Cambria Math" w:cs="Times New Roman"/>
                <w:sz w:val="28"/>
                <w:szCs w:val="28"/>
              </w:rPr>
              <m:t>i ноут</m:t>
            </m:r>
            <m:ctrlPr>
              <w:rPr>
                <w:rFonts w:ascii="Cambria Math" w:hAnsi="Cambria Math" w:cs="Times New Roman"/>
                <w:i/>
                <w:sz w:val="28"/>
                <w:szCs w:val="28"/>
              </w:rPr>
            </m:ctrlPr>
          </m:sub>
        </m:sSub>
      </m:oMath>
      <w:r>
        <w:rPr>
          <w:rFonts w:ascii="Times New Roman" w:hAnsi="Times New Roman" w:cs="Times New Roman"/>
          <w:sz w:val="28"/>
          <w:szCs w:val="28"/>
        </w:rPr>
        <w:t xml:space="preserve"> – цена одного ноутбука по i-й должности.</w:t>
      </w:r>
    </w:p>
    <w:p w14:paraId="141F20E0">
      <w:pPr>
        <w:pStyle w:val="8"/>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№16.</w:t>
      </w:r>
    </w:p>
    <w:p w14:paraId="093CF7D0">
      <w:pPr>
        <w:rPr>
          <w:rFonts w:ascii="Times New Roman" w:hAnsi="Times New Roman" w:eastAsia="Times New Roman" w:cs="Times New Roman"/>
          <w:sz w:val="28"/>
          <w:szCs w:val="28"/>
          <w:lang w:eastAsia="ru-RU"/>
        </w:rPr>
      </w:pPr>
      <w:r>
        <w:rPr>
          <w:rFonts w:ascii="Times New Roman" w:hAnsi="Times New Roman" w:cs="Times New Roman"/>
          <w:sz w:val="28"/>
          <w:szCs w:val="28"/>
        </w:rPr>
        <w:br w:type="page"/>
      </w:r>
    </w:p>
    <w:p w14:paraId="45EE85C3">
      <w:pPr>
        <w:pStyle w:val="8"/>
        <w:spacing w:line="360" w:lineRule="auto"/>
        <w:ind w:firstLine="709"/>
        <w:jc w:val="both"/>
        <w:rPr>
          <w:rFonts w:ascii="Times New Roman" w:hAnsi="Times New Roman" w:cs="Times New Roman"/>
          <w:sz w:val="28"/>
          <w:szCs w:val="28"/>
        </w:rPr>
        <w:sectPr>
          <w:pgSz w:w="11906" w:h="16838"/>
          <w:pgMar w:top="1418" w:right="567" w:bottom="1134" w:left="1588" w:header="567" w:footer="709" w:gutter="0"/>
          <w:cols w:space="708" w:num="1"/>
          <w:titlePg/>
          <w:docGrid w:linePitch="360" w:charSpace="0"/>
        </w:sectPr>
      </w:pPr>
    </w:p>
    <w:p w14:paraId="07D5D461">
      <w:pPr>
        <w:tabs>
          <w:tab w:val="left" w:pos="8670"/>
          <w:tab w:val="right" w:pos="10207"/>
        </w:tabs>
        <w:spacing w:after="0" w:line="360" w:lineRule="auto"/>
        <w:ind w:right="-456" w:firstLine="709"/>
        <w:jc w:val="right"/>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Таблица №16</w:t>
      </w:r>
    </w:p>
    <w:p w14:paraId="31414729">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ноутбуков</w:t>
      </w:r>
    </w:p>
    <w:p w14:paraId="3053CA06">
      <w:pPr>
        <w:widowControl w:val="0"/>
        <w:autoSpaceDE w:val="0"/>
        <w:autoSpaceDN w:val="0"/>
        <w:spacing w:after="0" w:line="360" w:lineRule="auto"/>
        <w:rPr>
          <w:rFonts w:ascii="Times New Roman" w:hAnsi="Times New Roman" w:cs="Times New Roman"/>
          <w:sz w:val="28"/>
          <w:szCs w:val="28"/>
        </w:rPr>
      </w:pPr>
    </w:p>
    <w:tbl>
      <w:tblPr>
        <w:tblStyle w:val="3"/>
        <w:tblW w:w="15134" w:type="dxa"/>
        <w:tblInd w:w="0" w:type="dxa"/>
        <w:tblLayout w:type="fixed"/>
        <w:tblCellMar>
          <w:top w:w="0" w:type="dxa"/>
          <w:left w:w="108" w:type="dxa"/>
          <w:bottom w:w="0" w:type="dxa"/>
          <w:right w:w="108" w:type="dxa"/>
        </w:tblCellMar>
      </w:tblPr>
      <w:tblGrid>
        <w:gridCol w:w="2383"/>
        <w:gridCol w:w="1836"/>
        <w:gridCol w:w="1843"/>
        <w:gridCol w:w="1701"/>
        <w:gridCol w:w="2126"/>
        <w:gridCol w:w="1701"/>
        <w:gridCol w:w="1701"/>
        <w:gridCol w:w="1843"/>
      </w:tblGrid>
      <w:tr w14:paraId="0A7F71E1">
        <w:tblPrEx>
          <w:tblCellMar>
            <w:top w:w="0" w:type="dxa"/>
            <w:left w:w="108" w:type="dxa"/>
            <w:bottom w:w="0" w:type="dxa"/>
            <w:right w:w="108" w:type="dxa"/>
          </w:tblCellMar>
        </w:tblPrEx>
        <w:trPr>
          <w:trHeight w:val="529" w:hRule="atLeast"/>
        </w:trPr>
        <w:tc>
          <w:tcPr>
            <w:tcW w:w="2383" w:type="dxa"/>
            <w:vMerge w:val="restart"/>
            <w:tcBorders>
              <w:top w:val="single" w:color="auto" w:sz="4" w:space="0"/>
              <w:left w:val="single" w:color="auto" w:sz="4" w:space="0"/>
              <w:bottom w:val="single" w:color="auto" w:sz="4" w:space="0"/>
              <w:right w:val="single" w:color="auto" w:sz="4" w:space="0"/>
            </w:tcBorders>
          </w:tcPr>
          <w:p w14:paraId="197A267B">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7506" w:type="dxa"/>
            <w:gridSpan w:val="4"/>
            <w:tcBorders>
              <w:top w:val="single" w:color="auto" w:sz="4" w:space="0"/>
              <w:left w:val="single" w:color="auto" w:sz="4" w:space="0"/>
              <w:bottom w:val="single" w:color="auto" w:sz="4" w:space="0"/>
              <w:right w:val="single" w:color="auto" w:sz="4" w:space="0"/>
            </w:tcBorders>
            <w:shd w:val="clear" w:color="auto" w:fill="auto"/>
          </w:tcPr>
          <w:p w14:paraId="7E22F3CA">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c>
          <w:tcPr>
            <w:tcW w:w="5245" w:type="dxa"/>
            <w:gridSpan w:val="3"/>
            <w:tcBorders>
              <w:top w:val="single" w:color="auto" w:sz="4" w:space="0"/>
              <w:left w:val="single" w:color="auto" w:sz="4" w:space="0"/>
              <w:bottom w:val="single" w:color="auto" w:sz="4" w:space="0"/>
              <w:right w:val="single" w:color="auto" w:sz="4" w:space="0"/>
            </w:tcBorders>
            <w:shd w:val="clear" w:color="auto" w:fill="auto"/>
          </w:tcPr>
          <w:p w14:paraId="1DEF904C">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Подведомственное учреждение Кировское областное государственное казенное учреждение «Агентство инвестиционного развития Кировской области» </w:t>
            </w:r>
          </w:p>
        </w:tc>
      </w:tr>
      <w:tr w14:paraId="0F75AD93">
        <w:tblPrEx>
          <w:tblCellMar>
            <w:top w:w="0" w:type="dxa"/>
            <w:left w:w="108" w:type="dxa"/>
            <w:bottom w:w="0" w:type="dxa"/>
            <w:right w:w="108" w:type="dxa"/>
          </w:tblCellMar>
        </w:tblPrEx>
        <w:trPr>
          <w:trHeight w:val="321" w:hRule="atLeast"/>
        </w:trPr>
        <w:tc>
          <w:tcPr>
            <w:tcW w:w="2383" w:type="dxa"/>
            <w:vMerge w:val="continue"/>
            <w:tcBorders>
              <w:top w:val="single" w:color="auto" w:sz="4" w:space="0"/>
              <w:left w:val="single" w:color="auto" w:sz="4" w:space="0"/>
              <w:bottom w:val="single" w:color="auto" w:sz="4" w:space="0"/>
              <w:right w:val="single" w:color="auto" w:sz="4" w:space="0"/>
            </w:tcBorders>
          </w:tcPr>
          <w:p w14:paraId="5640760A">
            <w:pPr>
              <w:spacing w:after="0" w:line="240" w:lineRule="auto"/>
              <w:ind w:left="-113" w:right="-88"/>
              <w:jc w:val="center"/>
              <w:rPr>
                <w:rFonts w:ascii="Times New Roman" w:hAnsi="Times New Roman" w:cs="Times New Roman"/>
                <w:sz w:val="18"/>
                <w:szCs w:val="18"/>
              </w:rPr>
            </w:pPr>
          </w:p>
        </w:tc>
        <w:tc>
          <w:tcPr>
            <w:tcW w:w="3679" w:type="dxa"/>
            <w:gridSpan w:val="2"/>
            <w:tcBorders>
              <w:top w:val="single" w:color="auto" w:sz="4" w:space="0"/>
              <w:left w:val="single" w:color="auto" w:sz="4" w:space="0"/>
              <w:bottom w:val="single" w:color="auto" w:sz="4" w:space="0"/>
              <w:right w:val="single" w:color="auto" w:sz="4" w:space="0"/>
            </w:tcBorders>
            <w:shd w:val="clear" w:color="auto" w:fill="auto"/>
          </w:tcPr>
          <w:p w14:paraId="01FD4B68">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701" w:type="dxa"/>
            <w:vMerge w:val="restart"/>
            <w:tcBorders>
              <w:top w:val="single" w:color="auto" w:sz="4" w:space="0"/>
              <w:left w:val="single" w:color="auto" w:sz="4" w:space="0"/>
              <w:bottom w:val="single" w:color="auto" w:sz="4" w:space="0"/>
              <w:right w:val="single" w:color="auto" w:sz="4" w:space="0"/>
            </w:tcBorders>
            <w:shd w:val="clear" w:color="auto" w:fill="auto"/>
          </w:tcPr>
          <w:p w14:paraId="6D428C3A">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2126" w:type="dxa"/>
            <w:vMerge w:val="restart"/>
            <w:tcBorders>
              <w:top w:val="single" w:color="auto" w:sz="4" w:space="0"/>
              <w:left w:val="single" w:color="auto" w:sz="4" w:space="0"/>
              <w:right w:val="single" w:color="auto" w:sz="4" w:space="0"/>
            </w:tcBorders>
            <w:shd w:val="clear" w:color="auto" w:fill="auto"/>
          </w:tcPr>
          <w:p w14:paraId="2D0A76CC">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c>
          <w:tcPr>
            <w:tcW w:w="3402" w:type="dxa"/>
            <w:gridSpan w:val="2"/>
            <w:tcBorders>
              <w:top w:val="single" w:color="auto" w:sz="4" w:space="0"/>
              <w:left w:val="single" w:color="auto" w:sz="4" w:space="0"/>
              <w:bottom w:val="single" w:color="auto" w:sz="4" w:space="0"/>
              <w:right w:val="single" w:color="auto" w:sz="4" w:space="0"/>
            </w:tcBorders>
            <w:shd w:val="clear" w:color="auto" w:fill="auto"/>
          </w:tcPr>
          <w:p w14:paraId="057C45E8">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843" w:type="dxa"/>
            <w:vMerge w:val="restart"/>
            <w:tcBorders>
              <w:top w:val="single" w:color="auto" w:sz="4" w:space="0"/>
              <w:left w:val="single" w:color="auto" w:sz="4" w:space="0"/>
              <w:right w:val="single" w:color="auto" w:sz="4" w:space="0"/>
            </w:tcBorders>
            <w:shd w:val="clear" w:color="auto" w:fill="auto"/>
          </w:tcPr>
          <w:p w14:paraId="0B9287F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14:paraId="6588B556">
        <w:tblPrEx>
          <w:tblCellMar>
            <w:top w:w="0" w:type="dxa"/>
            <w:left w:w="108" w:type="dxa"/>
            <w:bottom w:w="0" w:type="dxa"/>
            <w:right w:w="108" w:type="dxa"/>
          </w:tblCellMar>
        </w:tblPrEx>
        <w:trPr>
          <w:trHeight w:val="699" w:hRule="atLeast"/>
        </w:trPr>
        <w:tc>
          <w:tcPr>
            <w:tcW w:w="2383" w:type="dxa"/>
            <w:vMerge w:val="continue"/>
            <w:tcBorders>
              <w:top w:val="single" w:color="auto" w:sz="4" w:space="0"/>
              <w:left w:val="single" w:color="auto" w:sz="4" w:space="0"/>
              <w:bottom w:val="single" w:color="auto" w:sz="4" w:space="0"/>
              <w:right w:val="single" w:color="auto" w:sz="4" w:space="0"/>
            </w:tcBorders>
          </w:tcPr>
          <w:p w14:paraId="30909A66">
            <w:pPr>
              <w:spacing w:after="0" w:line="240" w:lineRule="auto"/>
              <w:ind w:left="-113" w:right="-88"/>
              <w:jc w:val="center"/>
              <w:rPr>
                <w:rFonts w:ascii="Times New Roman" w:hAnsi="Times New Roman" w:cs="Times New Roman"/>
                <w:sz w:val="18"/>
                <w:szCs w:val="18"/>
              </w:rPr>
            </w:pPr>
          </w:p>
        </w:tc>
        <w:tc>
          <w:tcPr>
            <w:tcW w:w="1836" w:type="dxa"/>
            <w:tcBorders>
              <w:top w:val="single" w:color="auto" w:sz="4" w:space="0"/>
              <w:left w:val="single" w:color="auto" w:sz="4" w:space="0"/>
              <w:bottom w:val="single" w:color="auto" w:sz="4" w:space="0"/>
              <w:right w:val="single" w:color="auto" w:sz="4" w:space="0"/>
            </w:tcBorders>
            <w:shd w:val="clear" w:color="auto" w:fill="auto"/>
          </w:tcPr>
          <w:p w14:paraId="3680052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6852C205">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701" w:type="dxa"/>
            <w:vMerge w:val="continue"/>
            <w:tcBorders>
              <w:top w:val="single" w:color="auto" w:sz="4" w:space="0"/>
              <w:left w:val="single" w:color="auto" w:sz="4" w:space="0"/>
              <w:bottom w:val="single" w:color="auto" w:sz="4" w:space="0"/>
              <w:right w:val="single" w:color="auto" w:sz="4" w:space="0"/>
            </w:tcBorders>
            <w:shd w:val="clear" w:color="auto" w:fill="auto"/>
          </w:tcPr>
          <w:p w14:paraId="49EA28A3">
            <w:pPr>
              <w:spacing w:after="0" w:line="240" w:lineRule="auto"/>
              <w:ind w:left="-113" w:right="-88"/>
              <w:jc w:val="center"/>
              <w:rPr>
                <w:rFonts w:ascii="Times New Roman" w:hAnsi="Times New Roman" w:cs="Times New Roman"/>
                <w:sz w:val="18"/>
                <w:szCs w:val="18"/>
              </w:rPr>
            </w:pPr>
          </w:p>
        </w:tc>
        <w:tc>
          <w:tcPr>
            <w:tcW w:w="2126" w:type="dxa"/>
            <w:vMerge w:val="continue"/>
            <w:tcBorders>
              <w:left w:val="single" w:color="auto" w:sz="4" w:space="0"/>
              <w:bottom w:val="single" w:color="auto" w:sz="4" w:space="0"/>
              <w:right w:val="single" w:color="auto" w:sz="4" w:space="0"/>
            </w:tcBorders>
          </w:tcPr>
          <w:p w14:paraId="3725C17E">
            <w:pPr>
              <w:spacing w:after="0" w:line="240" w:lineRule="auto"/>
              <w:ind w:left="-113" w:right="-88"/>
              <w:jc w:val="center"/>
              <w:rPr>
                <w:rFonts w:ascii="Times New Roman" w:hAnsi="Times New Roman" w:cs="Times New Roman"/>
                <w:sz w:val="18"/>
                <w:szCs w:val="18"/>
              </w:rPr>
            </w:pPr>
          </w:p>
        </w:tc>
        <w:tc>
          <w:tcPr>
            <w:tcW w:w="1701" w:type="dxa"/>
            <w:tcBorders>
              <w:top w:val="single" w:color="auto" w:sz="4" w:space="0"/>
              <w:left w:val="single" w:color="auto" w:sz="4" w:space="0"/>
              <w:bottom w:val="single" w:color="auto" w:sz="4" w:space="0"/>
              <w:right w:val="single" w:color="auto" w:sz="4" w:space="0"/>
            </w:tcBorders>
            <w:shd w:val="clear" w:color="auto" w:fill="auto"/>
          </w:tcPr>
          <w:p w14:paraId="3E7CD52B">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701" w:type="dxa"/>
            <w:tcBorders>
              <w:top w:val="single" w:color="auto" w:sz="4" w:space="0"/>
              <w:left w:val="single" w:color="auto" w:sz="4" w:space="0"/>
              <w:bottom w:val="single" w:color="auto" w:sz="4" w:space="0"/>
              <w:right w:val="single" w:color="auto" w:sz="4" w:space="0"/>
            </w:tcBorders>
            <w:shd w:val="clear" w:color="auto" w:fill="auto"/>
          </w:tcPr>
          <w:p w14:paraId="560A96A8">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843" w:type="dxa"/>
            <w:vMerge w:val="continue"/>
            <w:tcBorders>
              <w:left w:val="single" w:color="auto" w:sz="4" w:space="0"/>
              <w:bottom w:val="single" w:color="auto" w:sz="4" w:space="0"/>
              <w:right w:val="single" w:color="auto" w:sz="4" w:space="0"/>
            </w:tcBorders>
            <w:shd w:val="clear" w:color="auto" w:fill="auto"/>
          </w:tcPr>
          <w:p w14:paraId="6F42822C">
            <w:pPr>
              <w:spacing w:after="0" w:line="240" w:lineRule="auto"/>
              <w:ind w:left="-113" w:right="-88"/>
              <w:jc w:val="center"/>
              <w:rPr>
                <w:rFonts w:ascii="Times New Roman" w:hAnsi="Times New Roman" w:cs="Times New Roman"/>
                <w:sz w:val="18"/>
                <w:szCs w:val="18"/>
              </w:rPr>
            </w:pPr>
          </w:p>
        </w:tc>
      </w:tr>
      <w:tr w14:paraId="665B0195">
        <w:tblPrEx>
          <w:tblCellMar>
            <w:top w:w="0" w:type="dxa"/>
            <w:left w:w="108" w:type="dxa"/>
            <w:bottom w:w="0" w:type="dxa"/>
            <w:right w:w="108" w:type="dxa"/>
          </w:tblCellMar>
        </w:tblPrEx>
        <w:trPr>
          <w:trHeight w:val="137" w:hRule="atLeast"/>
        </w:trPr>
        <w:tc>
          <w:tcPr>
            <w:tcW w:w="2383" w:type="dxa"/>
            <w:tcBorders>
              <w:top w:val="single" w:color="auto" w:sz="4" w:space="0"/>
              <w:left w:val="single" w:color="auto" w:sz="4" w:space="0"/>
              <w:bottom w:val="single" w:color="auto" w:sz="4" w:space="0"/>
              <w:right w:val="single" w:color="auto" w:sz="4" w:space="0"/>
            </w:tcBorders>
          </w:tcPr>
          <w:p w14:paraId="48A19F0D">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36" w:type="dxa"/>
            <w:tcBorders>
              <w:top w:val="single" w:color="auto" w:sz="4" w:space="0"/>
              <w:left w:val="single" w:color="auto" w:sz="4" w:space="0"/>
              <w:bottom w:val="single" w:color="auto" w:sz="4" w:space="0"/>
              <w:right w:val="single" w:color="auto" w:sz="4" w:space="0"/>
            </w:tcBorders>
            <w:shd w:val="clear" w:color="auto" w:fill="auto"/>
          </w:tcPr>
          <w:p w14:paraId="7B5F8465">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1A670C42">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701" w:type="dxa"/>
            <w:tcBorders>
              <w:top w:val="single" w:color="auto" w:sz="4" w:space="0"/>
              <w:left w:val="single" w:color="auto" w:sz="4" w:space="0"/>
              <w:bottom w:val="single" w:color="auto" w:sz="4" w:space="0"/>
              <w:right w:val="single" w:color="auto" w:sz="4" w:space="0"/>
            </w:tcBorders>
          </w:tcPr>
          <w:p w14:paraId="7E4DF34D">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2126" w:type="dxa"/>
            <w:tcBorders>
              <w:top w:val="single" w:color="auto" w:sz="4" w:space="0"/>
              <w:left w:val="single" w:color="auto" w:sz="4" w:space="0"/>
              <w:bottom w:val="single" w:color="auto" w:sz="4" w:space="0"/>
              <w:right w:val="single" w:color="auto" w:sz="4" w:space="0"/>
            </w:tcBorders>
          </w:tcPr>
          <w:p w14:paraId="0F7BBB13">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1701" w:type="dxa"/>
            <w:tcBorders>
              <w:top w:val="single" w:color="auto" w:sz="4" w:space="0"/>
              <w:left w:val="single" w:color="auto" w:sz="4" w:space="0"/>
              <w:bottom w:val="single" w:color="auto" w:sz="4" w:space="0"/>
              <w:right w:val="single" w:color="auto" w:sz="4" w:space="0"/>
            </w:tcBorders>
            <w:shd w:val="clear" w:color="auto" w:fill="auto"/>
          </w:tcPr>
          <w:p w14:paraId="18C4832C">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6</w:t>
            </w:r>
          </w:p>
        </w:tc>
        <w:tc>
          <w:tcPr>
            <w:tcW w:w="1701" w:type="dxa"/>
            <w:tcBorders>
              <w:top w:val="single" w:color="auto" w:sz="4" w:space="0"/>
              <w:left w:val="single" w:color="auto" w:sz="4" w:space="0"/>
              <w:bottom w:val="single" w:color="auto" w:sz="4" w:space="0"/>
              <w:right w:val="single" w:color="auto" w:sz="4" w:space="0"/>
            </w:tcBorders>
            <w:shd w:val="clear" w:color="auto" w:fill="auto"/>
          </w:tcPr>
          <w:p w14:paraId="45E8FC76">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7</w:t>
            </w:r>
          </w:p>
        </w:tc>
        <w:tc>
          <w:tcPr>
            <w:tcW w:w="1843" w:type="dxa"/>
            <w:tcBorders>
              <w:top w:val="single" w:color="auto" w:sz="4" w:space="0"/>
              <w:left w:val="single" w:color="auto" w:sz="4" w:space="0"/>
              <w:bottom w:val="single" w:color="auto" w:sz="4" w:space="0"/>
              <w:right w:val="single" w:color="auto" w:sz="4" w:space="0"/>
            </w:tcBorders>
          </w:tcPr>
          <w:p w14:paraId="162A0DAA">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8</w:t>
            </w:r>
          </w:p>
        </w:tc>
      </w:tr>
      <w:tr w14:paraId="77912C67">
        <w:tblPrEx>
          <w:tblCellMar>
            <w:top w:w="0" w:type="dxa"/>
            <w:left w:w="108" w:type="dxa"/>
            <w:bottom w:w="0" w:type="dxa"/>
            <w:right w:w="108" w:type="dxa"/>
          </w:tblCellMar>
        </w:tblPrEx>
        <w:trPr>
          <w:trHeight w:val="137" w:hRule="atLeast"/>
        </w:trPr>
        <w:tc>
          <w:tcPr>
            <w:tcW w:w="2383" w:type="dxa"/>
            <w:tcBorders>
              <w:top w:val="single" w:color="auto" w:sz="4" w:space="0"/>
              <w:left w:val="single" w:color="auto" w:sz="4" w:space="0"/>
              <w:bottom w:val="single" w:color="auto" w:sz="4" w:space="0"/>
              <w:right w:val="single" w:color="auto" w:sz="4" w:space="0"/>
            </w:tcBorders>
          </w:tcPr>
          <w:p w14:paraId="4C588E44">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w:t>
            </w:r>
          </w:p>
        </w:tc>
        <w:tc>
          <w:tcPr>
            <w:tcW w:w="1836" w:type="dxa"/>
            <w:tcBorders>
              <w:top w:val="single" w:color="auto" w:sz="4" w:space="0"/>
              <w:left w:val="single" w:color="auto" w:sz="4" w:space="0"/>
              <w:bottom w:val="single" w:color="auto" w:sz="4" w:space="0"/>
              <w:right w:val="single" w:color="auto" w:sz="4" w:space="0"/>
            </w:tcBorders>
            <w:shd w:val="clear" w:color="auto" w:fill="auto"/>
          </w:tcPr>
          <w:p w14:paraId="7C569812">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2114F4C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701" w:type="dxa"/>
            <w:tcBorders>
              <w:top w:val="single" w:color="auto" w:sz="4" w:space="0"/>
              <w:left w:val="single" w:color="auto" w:sz="4" w:space="0"/>
              <w:bottom w:val="single" w:color="auto" w:sz="4" w:space="0"/>
              <w:right w:val="single" w:color="auto" w:sz="4" w:space="0"/>
            </w:tcBorders>
          </w:tcPr>
          <w:p w14:paraId="3BFF7B7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не более 1 </w:t>
            </w:r>
          </w:p>
        </w:tc>
        <w:tc>
          <w:tcPr>
            <w:tcW w:w="2126" w:type="dxa"/>
            <w:tcBorders>
              <w:top w:val="single" w:color="auto" w:sz="4" w:space="0"/>
              <w:left w:val="single" w:color="auto" w:sz="4" w:space="0"/>
              <w:bottom w:val="single" w:color="auto" w:sz="4" w:space="0"/>
              <w:right w:val="single" w:color="auto" w:sz="4" w:space="0"/>
            </w:tcBorders>
          </w:tcPr>
          <w:p w14:paraId="532F6F46">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 - </w:t>
            </w:r>
          </w:p>
        </w:tc>
        <w:tc>
          <w:tcPr>
            <w:tcW w:w="1701" w:type="dxa"/>
            <w:tcBorders>
              <w:top w:val="single" w:color="auto" w:sz="4" w:space="0"/>
              <w:left w:val="single" w:color="auto" w:sz="4" w:space="0"/>
              <w:bottom w:val="single" w:color="auto" w:sz="4" w:space="0"/>
              <w:right w:val="single" w:color="auto" w:sz="4" w:space="0"/>
            </w:tcBorders>
            <w:shd w:val="clear" w:color="auto" w:fill="auto"/>
          </w:tcPr>
          <w:p w14:paraId="5DCCA65F">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2</w:t>
            </w:r>
          </w:p>
        </w:tc>
        <w:tc>
          <w:tcPr>
            <w:tcW w:w="1701" w:type="dxa"/>
            <w:tcBorders>
              <w:top w:val="single" w:color="auto" w:sz="4" w:space="0"/>
              <w:left w:val="single" w:color="auto" w:sz="4" w:space="0"/>
              <w:bottom w:val="single" w:color="auto" w:sz="4" w:space="0"/>
              <w:right w:val="single" w:color="auto" w:sz="4" w:space="0"/>
            </w:tcBorders>
            <w:shd w:val="clear" w:color="auto" w:fill="auto"/>
          </w:tcPr>
          <w:p w14:paraId="0F177177">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2</w:t>
            </w:r>
          </w:p>
        </w:tc>
        <w:tc>
          <w:tcPr>
            <w:tcW w:w="1843" w:type="dxa"/>
            <w:tcBorders>
              <w:top w:val="single" w:color="auto" w:sz="4" w:space="0"/>
              <w:left w:val="single" w:color="auto" w:sz="4" w:space="0"/>
              <w:bottom w:val="single" w:color="auto" w:sz="4" w:space="0"/>
              <w:right w:val="single" w:color="auto" w:sz="4" w:space="0"/>
            </w:tcBorders>
          </w:tcPr>
          <w:p w14:paraId="1168ABBD">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2 </w:t>
            </w:r>
          </w:p>
        </w:tc>
      </w:tr>
      <w:tr w14:paraId="5D2365CD">
        <w:tblPrEx>
          <w:tblCellMar>
            <w:top w:w="0" w:type="dxa"/>
            <w:left w:w="108" w:type="dxa"/>
            <w:bottom w:w="0" w:type="dxa"/>
            <w:right w:w="108" w:type="dxa"/>
          </w:tblCellMar>
        </w:tblPrEx>
        <w:trPr>
          <w:trHeight w:val="137" w:hRule="atLeast"/>
        </w:trPr>
        <w:tc>
          <w:tcPr>
            <w:tcW w:w="2383" w:type="dxa"/>
            <w:tcBorders>
              <w:top w:val="single" w:color="auto" w:sz="4" w:space="0"/>
              <w:left w:val="single" w:color="auto" w:sz="4" w:space="0"/>
              <w:bottom w:val="single" w:color="auto" w:sz="4" w:space="0"/>
              <w:right w:val="single" w:color="auto" w:sz="4" w:space="0"/>
            </w:tcBorders>
          </w:tcPr>
          <w:p w14:paraId="176154D8">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1836" w:type="dxa"/>
            <w:tcBorders>
              <w:top w:val="single" w:color="auto" w:sz="4" w:space="0"/>
              <w:left w:val="single" w:color="auto" w:sz="4" w:space="0"/>
              <w:bottom w:val="single" w:color="auto" w:sz="4" w:space="0"/>
              <w:right w:val="single" w:color="auto" w:sz="4" w:space="0"/>
            </w:tcBorders>
            <w:shd w:val="clear" w:color="auto" w:fill="auto"/>
          </w:tcPr>
          <w:p w14:paraId="0C00ABD4">
            <w:pPr>
              <w:spacing w:after="0" w:line="240" w:lineRule="auto"/>
              <w:ind w:left="-113" w:right="-88"/>
              <w:jc w:val="center"/>
              <w:rPr>
                <w:rFonts w:ascii="Times New Roman" w:hAnsi="Times New Roman" w:cs="Times New Roman"/>
                <w:sz w:val="18"/>
                <w:szCs w:val="18"/>
              </w:rPr>
            </w:pP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10CC90D3">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100 000,00</w:t>
            </w:r>
          </w:p>
        </w:tc>
        <w:tc>
          <w:tcPr>
            <w:tcW w:w="1701" w:type="dxa"/>
            <w:tcBorders>
              <w:top w:val="single" w:color="auto" w:sz="4" w:space="0"/>
              <w:left w:val="single" w:color="auto" w:sz="4" w:space="0"/>
              <w:bottom w:val="single" w:color="auto" w:sz="4" w:space="0"/>
              <w:right w:val="single" w:color="auto" w:sz="4" w:space="0"/>
            </w:tcBorders>
          </w:tcPr>
          <w:p w14:paraId="12DCB9F5">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80 000,00 </w:t>
            </w:r>
          </w:p>
        </w:tc>
        <w:tc>
          <w:tcPr>
            <w:tcW w:w="2126" w:type="dxa"/>
            <w:tcBorders>
              <w:top w:val="single" w:color="auto" w:sz="4" w:space="0"/>
              <w:left w:val="single" w:color="auto" w:sz="4" w:space="0"/>
              <w:bottom w:val="single" w:color="auto" w:sz="4" w:space="0"/>
              <w:right w:val="single" w:color="auto" w:sz="4" w:space="0"/>
            </w:tcBorders>
          </w:tcPr>
          <w:p w14:paraId="38D6B48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 - </w:t>
            </w:r>
          </w:p>
        </w:tc>
        <w:tc>
          <w:tcPr>
            <w:tcW w:w="1701" w:type="dxa"/>
            <w:tcBorders>
              <w:top w:val="single" w:color="auto" w:sz="4" w:space="0"/>
              <w:left w:val="single" w:color="auto" w:sz="4" w:space="0"/>
              <w:bottom w:val="single" w:color="auto" w:sz="4" w:space="0"/>
              <w:right w:val="single" w:color="auto" w:sz="4" w:space="0"/>
            </w:tcBorders>
            <w:shd w:val="clear" w:color="auto" w:fill="auto"/>
          </w:tcPr>
          <w:p w14:paraId="1FD8BF04">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80 000,00</w:t>
            </w:r>
          </w:p>
        </w:tc>
        <w:tc>
          <w:tcPr>
            <w:tcW w:w="1701" w:type="dxa"/>
            <w:tcBorders>
              <w:top w:val="single" w:color="auto" w:sz="4" w:space="0"/>
              <w:left w:val="single" w:color="auto" w:sz="4" w:space="0"/>
              <w:bottom w:val="single" w:color="auto" w:sz="4" w:space="0"/>
              <w:right w:val="single" w:color="auto" w:sz="4" w:space="0"/>
            </w:tcBorders>
            <w:shd w:val="clear" w:color="auto" w:fill="auto"/>
          </w:tcPr>
          <w:p w14:paraId="5924CEB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80 000,00 </w:t>
            </w:r>
          </w:p>
        </w:tc>
        <w:tc>
          <w:tcPr>
            <w:tcW w:w="1843" w:type="dxa"/>
            <w:tcBorders>
              <w:top w:val="single" w:color="auto" w:sz="4" w:space="0"/>
              <w:left w:val="single" w:color="auto" w:sz="4" w:space="0"/>
              <w:bottom w:val="single" w:color="auto" w:sz="4" w:space="0"/>
              <w:right w:val="single" w:color="auto" w:sz="4" w:space="0"/>
            </w:tcBorders>
          </w:tcPr>
          <w:p w14:paraId="741B79FA">
            <w:pPr>
              <w:spacing w:after="0" w:line="240" w:lineRule="auto"/>
              <w:ind w:left="-113" w:right="-88"/>
              <w:jc w:val="center"/>
              <w:rPr>
                <w:rFonts w:ascii="Times New Roman" w:hAnsi="Times New Roman" w:cs="Times New Roman"/>
                <w:sz w:val="18"/>
                <w:szCs w:val="18"/>
                <w:highlight w:val="yellow"/>
              </w:rPr>
            </w:pPr>
          </w:p>
        </w:tc>
      </w:tr>
    </w:tbl>
    <w:p w14:paraId="32055E96">
      <w:pPr>
        <w:pStyle w:val="8"/>
        <w:spacing w:line="360" w:lineRule="auto"/>
        <w:ind w:firstLine="709"/>
        <w:jc w:val="both"/>
        <w:rPr>
          <w:rFonts w:ascii="Times New Roman" w:hAnsi="Times New Roman" w:cs="Times New Roman"/>
          <w:sz w:val="28"/>
          <w:szCs w:val="28"/>
        </w:rPr>
      </w:pPr>
    </w:p>
    <w:p w14:paraId="0AB915E8">
      <w:pPr>
        <w:pStyle w:val="8"/>
        <w:spacing w:line="360" w:lineRule="auto"/>
        <w:ind w:firstLine="709"/>
        <w:jc w:val="both"/>
        <w:rPr>
          <w:rFonts w:ascii="Times New Roman" w:hAnsi="Times New Roman" w:cs="Times New Roman"/>
          <w:color w:val="FF0000"/>
          <w:sz w:val="28"/>
          <w:szCs w:val="28"/>
        </w:rPr>
      </w:pPr>
    </w:p>
    <w:p w14:paraId="2113D58C">
      <w:pPr>
        <w:rPr>
          <w:rFonts w:ascii="Times New Roman" w:hAnsi="Times New Roman" w:eastAsia="Times New Roman" w:cs="Times New Roman"/>
          <w:color w:val="FF0000"/>
          <w:sz w:val="28"/>
          <w:szCs w:val="28"/>
          <w:lang w:eastAsia="ru-RU"/>
        </w:rPr>
      </w:pPr>
      <w:r>
        <w:rPr>
          <w:rFonts w:ascii="Times New Roman" w:hAnsi="Times New Roman" w:cs="Times New Roman"/>
          <w:color w:val="FF0000"/>
          <w:sz w:val="28"/>
          <w:szCs w:val="28"/>
        </w:rPr>
        <w:br w:type="page"/>
      </w:r>
    </w:p>
    <w:p w14:paraId="26C795CA">
      <w:pPr>
        <w:pStyle w:val="8"/>
        <w:spacing w:line="360" w:lineRule="auto"/>
        <w:ind w:firstLine="709"/>
        <w:jc w:val="both"/>
        <w:rPr>
          <w:rFonts w:ascii="Times New Roman" w:hAnsi="Times New Roman" w:cs="Times New Roman"/>
          <w:color w:val="FF0000"/>
          <w:sz w:val="28"/>
          <w:szCs w:val="28"/>
        </w:rPr>
        <w:sectPr>
          <w:pgSz w:w="16838" w:h="11906" w:orient="landscape"/>
          <w:pgMar w:top="1588" w:right="1418" w:bottom="567" w:left="1134" w:header="567" w:footer="709" w:gutter="0"/>
          <w:cols w:space="708" w:num="1"/>
          <w:titlePg/>
          <w:docGrid w:linePitch="360" w:charSpace="0"/>
        </w:sectPr>
      </w:pPr>
    </w:p>
    <w:p w14:paraId="265802D0">
      <w:pPr>
        <w:pStyle w:val="8"/>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4.5. Затраты на приобретение оборудования по обеспечению безопасности информации </w:t>
      </w:r>
      <w:r>
        <w:rPr>
          <w:rFonts w:ascii="Times New Roman" w:hAnsi="Times New Roman" w:cs="Times New Roman"/>
          <w:position w:val="-12"/>
          <w:sz w:val="28"/>
          <w:szCs w:val="28"/>
        </w:rPr>
        <w:drawing>
          <wp:inline distT="0" distB="0" distL="0" distR="0">
            <wp:extent cx="476250" cy="257175"/>
            <wp:effectExtent l="0" t="0" r="0" b="0"/>
            <wp:docPr id="39" name="Рисунок 115" descr="base_23792_85543_568"/>
            <wp:cNvGraphicFramePr/>
            <a:graphic xmlns:a="http://schemas.openxmlformats.org/drawingml/2006/main">
              <a:graphicData uri="http://schemas.openxmlformats.org/drawingml/2006/picture">
                <pic:pic xmlns:pic="http://schemas.openxmlformats.org/drawingml/2006/picture">
                  <pic:nvPicPr>
                    <pic:cNvPr id="39" name="Рисунок 115" descr="base_23792_85543_568"/>
                    <pic:cNvPicPr preferRelativeResize="0">
                      <a:picLocks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a:xfrm>
                      <a:off x="0" y="0"/>
                      <a:ext cx="47625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1970A661">
      <w:pPr>
        <w:pStyle w:val="8"/>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drawing>
          <wp:inline distT="0" distB="0" distL="0" distR="0">
            <wp:extent cx="2009775" cy="476250"/>
            <wp:effectExtent l="0" t="0" r="0" b="0"/>
            <wp:docPr id="38" name="Рисунок 116" descr="base_23792_85543_569"/>
            <wp:cNvGraphicFramePr/>
            <a:graphic xmlns:a="http://schemas.openxmlformats.org/drawingml/2006/main">
              <a:graphicData uri="http://schemas.openxmlformats.org/drawingml/2006/picture">
                <pic:pic xmlns:pic="http://schemas.openxmlformats.org/drawingml/2006/picture">
                  <pic:nvPicPr>
                    <pic:cNvPr id="38" name="Рисунок 116" descr="base_23792_85543_569"/>
                    <pic:cNvPicPr preferRelativeResize="0">
                      <a:picLocks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a:xfrm>
                      <a:off x="0" y="0"/>
                      <a:ext cx="2009775" cy="476250"/>
                    </a:xfrm>
                    <a:prstGeom prst="rect">
                      <a:avLst/>
                    </a:prstGeom>
                    <a:noFill/>
                    <a:ln>
                      <a:noFill/>
                    </a:ln>
                  </pic:spPr>
                </pic:pic>
              </a:graphicData>
            </a:graphic>
          </wp:inline>
        </w:drawing>
      </w:r>
    </w:p>
    <w:p w14:paraId="11AB8F4A">
      <w:pPr>
        <w:pStyle w:val="8"/>
        <w:spacing w:line="360" w:lineRule="auto"/>
        <w:ind w:firstLine="709"/>
        <w:jc w:val="both"/>
        <w:rPr>
          <w:rFonts w:ascii="Times New Roman" w:hAnsi="Times New Roman" w:cs="Times New Roman"/>
          <w:sz w:val="28"/>
          <w:szCs w:val="28"/>
        </w:rPr>
      </w:pPr>
      <w:r>
        <w:rPr>
          <w:rFonts w:ascii="Times New Roman" w:hAnsi="Times New Roman" w:cs="Times New Roman"/>
          <w:position w:val="-14"/>
          <w:sz w:val="28"/>
          <w:szCs w:val="28"/>
        </w:rPr>
        <w:drawing>
          <wp:inline distT="0" distB="0" distL="0" distR="0">
            <wp:extent cx="438150" cy="257175"/>
            <wp:effectExtent l="0" t="0" r="0" b="0"/>
            <wp:docPr id="37" name="Рисунок 117" descr="base_23792_85543_570"/>
            <wp:cNvGraphicFramePr/>
            <a:graphic xmlns:a="http://schemas.openxmlformats.org/drawingml/2006/main">
              <a:graphicData uri="http://schemas.openxmlformats.org/drawingml/2006/picture">
                <pic:pic xmlns:pic="http://schemas.openxmlformats.org/drawingml/2006/picture">
                  <pic:nvPicPr>
                    <pic:cNvPr id="37" name="Рисунок 117" descr="base_23792_85543_570"/>
                    <pic:cNvPicPr preferRelativeResize="0">
                      <a:picLocks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i-го оборудования по обеспечению безопасности информации;</w:t>
      </w:r>
    </w:p>
    <w:p w14:paraId="7DA4B843">
      <w:pPr>
        <w:pStyle w:val="8"/>
        <w:spacing w:line="360" w:lineRule="auto"/>
        <w:ind w:firstLine="709"/>
        <w:jc w:val="both"/>
        <w:rPr>
          <w:rFonts w:ascii="Times New Roman" w:hAnsi="Times New Roman" w:cs="Times New Roman"/>
          <w:sz w:val="28"/>
          <w:szCs w:val="28"/>
        </w:rPr>
      </w:pPr>
      <w:r>
        <w:rPr>
          <w:rFonts w:ascii="Times New Roman" w:hAnsi="Times New Roman" w:cs="Times New Roman"/>
          <w:position w:val="-14"/>
          <w:sz w:val="28"/>
          <w:szCs w:val="28"/>
        </w:rPr>
        <w:drawing>
          <wp:inline distT="0" distB="0" distL="0" distR="0">
            <wp:extent cx="400050" cy="257175"/>
            <wp:effectExtent l="0" t="0" r="0" b="0"/>
            <wp:docPr id="36" name="Рисунок 118" descr="base_23792_85543_571"/>
            <wp:cNvGraphicFramePr/>
            <a:graphic xmlns:a="http://schemas.openxmlformats.org/drawingml/2006/main">
              <a:graphicData uri="http://schemas.openxmlformats.org/drawingml/2006/picture">
                <pic:pic xmlns:pic="http://schemas.openxmlformats.org/drawingml/2006/picture">
                  <pic:nvPicPr>
                    <pic:cNvPr id="36" name="Рисунок 118" descr="base_23792_85543_571"/>
                    <pic:cNvPicPr preferRelativeResize="0">
                      <a:picLocks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xml:space="preserve"> –цена приобретаемого i-го оборудования по обеспечению безопасности информации.</w:t>
      </w:r>
    </w:p>
    <w:p w14:paraId="333DCCE4">
      <w:pPr>
        <w:pStyle w:val="8"/>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№17.</w:t>
      </w:r>
    </w:p>
    <w:p w14:paraId="64EA05B1">
      <w:pPr>
        <w:widowControl w:val="0"/>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№17</w:t>
      </w:r>
    </w:p>
    <w:p w14:paraId="0F568980">
      <w:pPr>
        <w:tabs>
          <w:tab w:val="left" w:pos="1134"/>
        </w:tabs>
        <w:autoSpaceDE w:val="0"/>
        <w:autoSpaceDN w:val="0"/>
        <w:adjustRightInd w:val="0"/>
        <w:spacing w:after="120" w:line="240" w:lineRule="auto"/>
        <w:ind w:firstLine="709"/>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оборудования по обеспечению безопасности информации</w:t>
      </w:r>
    </w:p>
    <w:tbl>
      <w:tblPr>
        <w:tblStyle w:val="3"/>
        <w:tblW w:w="952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23"/>
        <w:gridCol w:w="2410"/>
        <w:gridCol w:w="2693"/>
      </w:tblGrid>
      <w:tr w14:paraId="081C6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trPr>
        <w:tc>
          <w:tcPr>
            <w:tcW w:w="4423" w:type="dxa"/>
            <w:shd w:val="clear" w:color="auto" w:fill="auto"/>
          </w:tcPr>
          <w:p w14:paraId="05E5ADF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оборудования по обеспечению безопасности информации</w:t>
            </w:r>
          </w:p>
        </w:tc>
        <w:tc>
          <w:tcPr>
            <w:tcW w:w="2410" w:type="dxa"/>
          </w:tcPr>
          <w:p w14:paraId="574EF5F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в год (штук)</w:t>
            </w:r>
          </w:p>
        </w:tc>
        <w:tc>
          <w:tcPr>
            <w:tcW w:w="2693" w:type="dxa"/>
            <w:shd w:val="clear" w:color="auto" w:fill="auto"/>
          </w:tcPr>
          <w:p w14:paraId="0B3EED2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14:paraId="49A0A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 w:hRule="atLeast"/>
        </w:trPr>
        <w:tc>
          <w:tcPr>
            <w:tcW w:w="4423" w:type="dxa"/>
            <w:shd w:val="clear" w:color="auto" w:fill="auto"/>
          </w:tcPr>
          <w:p w14:paraId="45EF1B4E">
            <w:pPr>
              <w:spacing w:after="0" w:line="240" w:lineRule="auto"/>
              <w:rPr>
                <w:rFonts w:ascii="Times New Roman" w:hAnsi="Times New Roman" w:cs="Times New Roman"/>
                <w:sz w:val="28"/>
                <w:szCs w:val="28"/>
              </w:rPr>
            </w:pPr>
            <w:r>
              <w:rPr>
                <w:rFonts w:ascii="Times New Roman" w:hAnsi="Times New Roman" w:cs="Times New Roman"/>
                <w:sz w:val="28"/>
                <w:szCs w:val="28"/>
              </w:rPr>
              <w:t>Rutoken</w:t>
            </w:r>
          </w:p>
        </w:tc>
        <w:tc>
          <w:tcPr>
            <w:tcW w:w="2410" w:type="dxa"/>
          </w:tcPr>
          <w:p w14:paraId="00F75EF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2693" w:type="dxa"/>
            <w:shd w:val="clear" w:color="auto" w:fill="auto"/>
          </w:tcPr>
          <w:p w14:paraId="2D023B1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r w14:paraId="63736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4423" w:type="dxa"/>
            <w:shd w:val="clear" w:color="auto" w:fill="auto"/>
          </w:tcPr>
          <w:p w14:paraId="32B84C98">
            <w:pPr>
              <w:spacing w:after="0" w:line="240" w:lineRule="auto"/>
              <w:rPr>
                <w:rFonts w:ascii="Times New Roman" w:hAnsi="Times New Roman" w:cs="Times New Roman"/>
                <w:sz w:val="28"/>
                <w:szCs w:val="28"/>
              </w:rPr>
            </w:pPr>
            <w:r>
              <w:rPr>
                <w:rFonts w:ascii="Times New Roman" w:hAnsi="Times New Roman" w:cs="Times New Roman"/>
                <w:sz w:val="28"/>
                <w:szCs w:val="28"/>
              </w:rPr>
              <w:t>Изготовление сертификата ключа</w:t>
            </w:r>
          </w:p>
        </w:tc>
        <w:tc>
          <w:tcPr>
            <w:tcW w:w="2410" w:type="dxa"/>
          </w:tcPr>
          <w:p w14:paraId="635F3B0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2693" w:type="dxa"/>
            <w:shd w:val="clear" w:color="auto" w:fill="auto"/>
          </w:tcPr>
          <w:p w14:paraId="57689D9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bl>
    <w:p w14:paraId="5D0DAF6B">
      <w:pPr>
        <w:autoSpaceDE w:val="0"/>
        <w:autoSpaceDN w:val="0"/>
        <w:adjustRightInd w:val="0"/>
        <w:spacing w:after="0" w:line="240" w:lineRule="auto"/>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
          <w:color w:val="FF0000"/>
          <w:sz w:val="24"/>
          <w:szCs w:val="20"/>
          <w:lang w:eastAsia="ru-RU"/>
        </w:rPr>
        <w:t xml:space="preserve">* </w:t>
      </w:r>
      <w:r>
        <w:rPr>
          <w:rFonts w:ascii="Times New Roman" w:hAnsi="Times New Roman" w:eastAsia="Times New Roman" w:cs="Times New Roman"/>
          <w:bCs/>
          <w:sz w:val="28"/>
          <w:szCs w:val="28"/>
          <w:lang w:eastAsia="ru-RU"/>
        </w:rPr>
        <w:t>количество и наименование носителей информации в связи со служебной необходимостью может быть изменено. При этом закупка осуществляется в пределах лимитов бюджетных обязательств на обеспечение функций министерства, учреждения.</w:t>
      </w:r>
    </w:p>
    <w:p w14:paraId="710F79FA">
      <w:pPr>
        <w:pStyle w:val="8"/>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4.6. Затраты на приобретение системных телефонов, телефонов, факсов, диктофонов (З</w:t>
      </w:r>
      <w:r>
        <w:rPr>
          <w:rFonts w:ascii="Times New Roman" w:hAnsi="Times New Roman" w:cs="Times New Roman"/>
          <w:sz w:val="28"/>
          <w:szCs w:val="28"/>
          <w:vertAlign w:val="subscript"/>
        </w:rPr>
        <w:t>тфд</w:t>
      </w:r>
      <w:r>
        <w:rPr>
          <w:rFonts w:ascii="Times New Roman" w:hAnsi="Times New Roman" w:cs="Times New Roman"/>
          <w:sz w:val="28"/>
          <w:szCs w:val="28"/>
        </w:rPr>
        <w:t>), определяемые по формуле:</w:t>
      </w:r>
    </w:p>
    <w:p w14:paraId="79C7716A">
      <w:pPr>
        <w:pStyle w:val="8"/>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ctrlPr>
                <w:rPr>
                  <w:rFonts w:ascii="Cambria Math" w:hAnsi="Cambria Math" w:cs="Times New Roman"/>
                  <w:sz w:val="28"/>
                  <w:szCs w:val="28"/>
                </w:rPr>
              </m:ctrlPr>
            </m:e>
            <m:sub>
              <m:r>
                <m:rPr>
                  <m:sty m:val="p"/>
                </m:rPr>
                <w:rPr>
                  <w:rFonts w:ascii="Cambria Math" w:hAnsi="Cambria Math" w:cs="Times New Roman"/>
                  <w:sz w:val="28"/>
                  <w:szCs w:val="28"/>
                </w:rPr>
                <m:t>тфд</m:t>
              </m:r>
              <m:ctrlPr>
                <w:rPr>
                  <w:rFonts w:ascii="Cambria Math" w:hAnsi="Cambria Math" w:cs="Times New Roman"/>
                  <w:sz w:val="28"/>
                  <w:szCs w:val="28"/>
                </w:rPr>
              </m:ctrlPr>
            </m:sub>
          </m:sSub>
          <m:r>
            <m:rPr>
              <m:sty m:val="p"/>
            </m:rPr>
            <w:rPr>
              <w:rFonts w:ascii="Cambria Math" w:hAnsi="Cambria Math" w:cs="Times New Roman"/>
              <w:sz w:val="28"/>
              <w:szCs w:val="28"/>
              <w:lang w:val="en-US"/>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m:t>
              </m:r>
              <m:r>
                <m:rPr>
                  <m:sty m:val="p"/>
                </m:rPr>
                <w:rPr>
                  <w:rFonts w:ascii="Cambria Math" w:hAnsi="Cambria Math" w:cs="Times New Roman"/>
                  <w:sz w:val="28"/>
                  <w:szCs w:val="28"/>
                  <w:lang w:val="en-US"/>
                </w:rPr>
                <m:t>=1</m:t>
              </m:r>
              <m:ctrlPr>
                <w:rPr>
                  <w:rFonts w:ascii="Cambria Math" w:hAnsi="Cambria Math" w:cs="Times New Roman"/>
                  <w:sz w:val="28"/>
                  <w:szCs w:val="28"/>
                </w:rPr>
              </m:ctrlPr>
            </m:sub>
            <m:sup>
              <m:r>
                <m:rPr>
                  <m:sty m:val="p"/>
                </m:rPr>
                <w:rPr>
                  <w:rFonts w:ascii="Cambria Math" w:hAnsi="Cambria Math" w:cs="Times New Roman"/>
                  <w:sz w:val="28"/>
                  <w:szCs w:val="28"/>
                  <w:lang w:val="en-US"/>
                </w:rPr>
                <m:t>n</m:t>
              </m:r>
              <m:ctrlPr>
                <w:rPr>
                  <w:rFonts w:ascii="Cambria Math" w:hAnsi="Cambria Math" w:cs="Times New Roman"/>
                  <w:sz w:val="28"/>
                  <w:szCs w:val="28"/>
                </w:rPr>
              </m:ctrlPr>
            </m:sup>
            <m:e>
              <m:sSub>
                <m:sSubPr>
                  <m:ctrlPr>
                    <w:rPr>
                      <w:rFonts w:ascii="Cambria Math" w:hAnsi="Cambria Math" w:cs="Times New Roman"/>
                      <w:sz w:val="28"/>
                      <w:szCs w:val="28"/>
                    </w:rPr>
                  </m:ctrlPr>
                </m:sSubPr>
                <m:e>
                  <m:r>
                    <m:rPr>
                      <m:sty m:val="p"/>
                    </m:rPr>
                    <w:rPr>
                      <w:rFonts w:ascii="Cambria Math" w:hAnsi="Cambria Math" w:cs="Times New Roman"/>
                      <w:sz w:val="28"/>
                      <w:szCs w:val="28"/>
                    </w:rPr>
                    <m:t>Q</m:t>
                  </m:r>
                  <m:ctrlPr>
                    <w:rPr>
                      <w:rFonts w:ascii="Cambria Math" w:hAnsi="Cambria Math" w:cs="Times New Roman"/>
                      <w:sz w:val="28"/>
                      <w:szCs w:val="28"/>
                    </w:rPr>
                  </m:ctrlPr>
                </m:e>
                <m:sub>
                  <m:r>
                    <m:rPr>
                      <m:sty m:val="p"/>
                    </m:rPr>
                    <w:rPr>
                      <w:rFonts w:ascii="Cambria Math" w:hAnsi="Cambria Math" w:cs="Times New Roman"/>
                      <w:sz w:val="28"/>
                      <w:szCs w:val="28"/>
                    </w:rPr>
                    <m:t>iпртфд</m:t>
                  </m:r>
                  <m:ctrlPr>
                    <w:rPr>
                      <w:rFonts w:ascii="Cambria Math" w:hAnsi="Cambria Math" w:cs="Times New Roman"/>
                      <w:sz w:val="28"/>
                      <w:szCs w:val="28"/>
                    </w:rPr>
                  </m:ctrlPr>
                </m:sub>
              </m:sSub>
              <m:ctrlPr>
                <w:rPr>
                  <w:rFonts w:ascii="Cambria Math" w:hAnsi="Cambria Math" w:cs="Times New Roman"/>
                  <w:sz w:val="28"/>
                  <w:szCs w:val="28"/>
                </w:rPr>
              </m:ctrlPr>
            </m:e>
          </m:nary>
          <m:r>
            <m:rPr>
              <m:sty m:val="p"/>
            </m:rPr>
            <w:rPr>
              <w:rFonts w:ascii="Cambria Math" w:hAnsi="Cambria Math" w:cs="Times New Roman"/>
              <w:sz w:val="28"/>
              <w:szCs w:val="28"/>
              <w:lang w:val="en-US"/>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ctrlPr>
                <w:rPr>
                  <w:rFonts w:ascii="Cambria Math" w:hAnsi="Cambria Math" w:cs="Times New Roman"/>
                  <w:sz w:val="28"/>
                  <w:szCs w:val="28"/>
                </w:rPr>
              </m:ctrlPr>
            </m:e>
            <m:sub>
              <m:r>
                <m:rPr>
                  <m:sty m:val="p"/>
                </m:rPr>
                <w:rPr>
                  <w:rFonts w:ascii="Cambria Math" w:hAnsi="Cambria Math" w:cs="Times New Roman"/>
                  <w:sz w:val="28"/>
                  <w:szCs w:val="28"/>
                  <w:lang w:val="en-US"/>
                </w:rPr>
                <m:t xml:space="preserve">i </m:t>
              </m:r>
              <m:r>
                <m:rPr>
                  <m:sty m:val="p"/>
                </m:rPr>
                <w:rPr>
                  <w:rFonts w:ascii="Cambria Math" w:hAnsi="Cambria Math" w:cs="Times New Roman"/>
                  <w:sz w:val="28"/>
                  <w:szCs w:val="28"/>
                </w:rPr>
                <m:t>пртфд</m:t>
              </m:r>
              <m:ctrlPr>
                <w:rPr>
                  <w:rFonts w:ascii="Cambria Math" w:hAnsi="Cambria Math" w:cs="Times New Roman"/>
                  <w:sz w:val="28"/>
                  <w:szCs w:val="28"/>
                </w:rPr>
              </m:ctrlPr>
            </m:sub>
          </m:sSub>
          <m:r>
            <m:rPr>
              <m:sty m:val="p"/>
            </m:rPr>
            <w:rPr>
              <w:rFonts w:ascii="Cambria Math" w:hAnsi="Cambria Math" w:cs="Times New Roman"/>
              <w:sz w:val="28"/>
              <w:szCs w:val="28"/>
            </w:rPr>
            <m:t>, где:</m:t>
          </m:r>
        </m:oMath>
      </m:oMathPara>
    </w:p>
    <w:p w14:paraId="7356EA9D">
      <w:pPr>
        <w:pStyle w:val="8"/>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ctrlPr>
              <w:rPr>
                <w:rFonts w:ascii="Cambria Math" w:hAnsi="Cambria Math" w:cs="Times New Roman"/>
                <w:sz w:val="28"/>
                <w:szCs w:val="28"/>
              </w:rPr>
            </m:ctrlPr>
          </m:e>
          <m:sub>
            <m:r>
              <m:rPr>
                <m:sty m:val="p"/>
              </m:rPr>
              <w:rPr>
                <w:rFonts w:ascii="Cambria Math" w:hAnsi="Cambria Math" w:cs="Times New Roman"/>
                <w:sz w:val="28"/>
                <w:szCs w:val="28"/>
              </w:rPr>
              <m:t xml:space="preserve">i пртфд </m:t>
            </m:r>
            <m:ctrlPr>
              <w:rPr>
                <w:rFonts w:ascii="Cambria Math" w:hAnsi="Cambria Math" w:cs="Times New Roman"/>
                <w:sz w:val="28"/>
                <w:szCs w:val="28"/>
              </w:rPr>
            </m:ctrlPr>
          </m:sub>
        </m:sSub>
      </m:oMath>
      <w:r>
        <w:rPr>
          <w:rFonts w:ascii="Times New Roman" w:hAnsi="Times New Roman" w:cs="Times New Roman"/>
          <w:sz w:val="28"/>
          <w:szCs w:val="28"/>
        </w:rPr>
        <w:t>–планируемое к приобретению количество системных телефонов, телефонов, факсов, диктофонов по i-й должности;</w:t>
      </w:r>
    </w:p>
    <w:p w14:paraId="687373A8">
      <w:pPr>
        <w:pStyle w:val="8"/>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ctrlPr>
              <w:rPr>
                <w:rFonts w:ascii="Cambria Math" w:hAnsi="Cambria Math" w:cs="Times New Roman"/>
                <w:sz w:val="28"/>
                <w:szCs w:val="28"/>
              </w:rPr>
            </m:ctrlP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пртфд</m:t>
            </m:r>
            <m:ctrlPr>
              <w:rPr>
                <w:rFonts w:ascii="Cambria Math" w:hAnsi="Cambria Math" w:cs="Times New Roman"/>
                <w:sz w:val="28"/>
                <w:szCs w:val="28"/>
              </w:rPr>
            </m:ctrlPr>
          </m:sub>
        </m:sSub>
      </m:oMath>
      <w:r>
        <w:rPr>
          <w:rFonts w:ascii="Times New Roman" w:hAnsi="Times New Roman" w:cs="Times New Roman"/>
          <w:sz w:val="28"/>
          <w:szCs w:val="28"/>
        </w:rPr>
        <w:t>– стоимость одного системного телефона, телефона, факса, диктофона для i-й должности.</w:t>
      </w:r>
    </w:p>
    <w:p w14:paraId="3028E027">
      <w:pPr>
        <w:pStyle w:val="8"/>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№18.</w:t>
      </w:r>
    </w:p>
    <w:p w14:paraId="6F58EA6E">
      <w:pPr>
        <w:widowControl w:val="0"/>
        <w:autoSpaceDE w:val="0"/>
        <w:autoSpaceDN w:val="0"/>
        <w:spacing w:after="0" w:line="360" w:lineRule="auto"/>
        <w:ind w:right="-456" w:firstLine="709"/>
        <w:jc w:val="right"/>
        <w:rPr>
          <w:rFonts w:ascii="Times New Roman" w:hAnsi="Times New Roman" w:cs="Times New Roman"/>
          <w:sz w:val="28"/>
          <w:szCs w:val="28"/>
        </w:rPr>
      </w:pPr>
      <w:r>
        <w:rPr>
          <w:rFonts w:ascii="Times New Roman" w:hAnsi="Times New Roman" w:cs="Times New Roman"/>
          <w:sz w:val="28"/>
          <w:szCs w:val="28"/>
        </w:rPr>
        <w:t>Таблица 18.</w:t>
      </w:r>
    </w:p>
    <w:p w14:paraId="412660CB">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системных телефонов, телефонов, факсов, диктофонов</w:t>
      </w:r>
    </w:p>
    <w:p w14:paraId="785C15B2">
      <w:pPr>
        <w:widowControl w:val="0"/>
        <w:autoSpaceDE w:val="0"/>
        <w:autoSpaceDN w:val="0"/>
        <w:spacing w:after="0" w:line="240" w:lineRule="auto"/>
        <w:ind w:firstLine="709"/>
        <w:jc w:val="right"/>
        <w:rPr>
          <w:rFonts w:ascii="Times New Roman" w:hAnsi="Times New Roman" w:cs="Times New Roman"/>
          <w:sz w:val="28"/>
          <w:szCs w:val="28"/>
        </w:rPr>
      </w:pPr>
    </w:p>
    <w:tbl>
      <w:tblPr>
        <w:tblStyle w:val="3"/>
        <w:tblW w:w="15026" w:type="dxa"/>
        <w:tblInd w:w="93" w:type="dxa"/>
        <w:tblLayout w:type="fixed"/>
        <w:tblCellMar>
          <w:top w:w="0" w:type="dxa"/>
          <w:left w:w="108" w:type="dxa"/>
          <w:bottom w:w="0" w:type="dxa"/>
          <w:right w:w="108" w:type="dxa"/>
        </w:tblCellMar>
      </w:tblPr>
      <w:tblGrid>
        <w:gridCol w:w="2235"/>
        <w:gridCol w:w="1517"/>
        <w:gridCol w:w="1734"/>
        <w:gridCol w:w="1951"/>
        <w:gridCol w:w="1736"/>
        <w:gridCol w:w="1734"/>
        <w:gridCol w:w="2168"/>
        <w:gridCol w:w="1951"/>
      </w:tblGrid>
      <w:tr w14:paraId="18688B28">
        <w:tblPrEx>
          <w:tblCellMar>
            <w:top w:w="0" w:type="dxa"/>
            <w:left w:w="108" w:type="dxa"/>
            <w:bottom w:w="0" w:type="dxa"/>
            <w:right w:w="108" w:type="dxa"/>
          </w:tblCellMar>
        </w:tblPrEx>
        <w:trPr>
          <w:trHeight w:val="385" w:hRule="atLeast"/>
        </w:trPr>
        <w:tc>
          <w:tcPr>
            <w:tcW w:w="2235" w:type="dxa"/>
            <w:vMerge w:val="restart"/>
            <w:tcBorders>
              <w:top w:val="single" w:color="auto" w:sz="4" w:space="0"/>
              <w:left w:val="single" w:color="auto" w:sz="4" w:space="0"/>
              <w:bottom w:val="single" w:color="auto" w:sz="4" w:space="0"/>
              <w:right w:val="single" w:color="auto" w:sz="4" w:space="0"/>
            </w:tcBorders>
          </w:tcPr>
          <w:p w14:paraId="7FB95894">
            <w:pPr>
              <w:spacing w:after="0" w:line="240" w:lineRule="auto"/>
              <w:ind w:left="-113" w:right="-88"/>
              <w:jc w:val="center"/>
              <w:rPr>
                <w:rFonts w:ascii="Times New Roman" w:hAnsi="Times New Roman" w:eastAsia="Calibri" w:cs="Times New Roman"/>
                <w:sz w:val="20"/>
                <w:szCs w:val="20"/>
              </w:rPr>
            </w:pPr>
            <w:r>
              <w:rPr>
                <w:rFonts w:ascii="Times New Roman" w:hAnsi="Times New Roman" w:eastAsia="Calibri" w:cs="Times New Roman"/>
                <w:sz w:val="20"/>
                <w:szCs w:val="20"/>
              </w:rPr>
              <w:t>Наименование</w:t>
            </w:r>
          </w:p>
          <w:p w14:paraId="04881CFB">
            <w:pPr>
              <w:spacing w:after="0" w:line="240" w:lineRule="auto"/>
              <w:ind w:left="-113" w:right="-88"/>
              <w:jc w:val="center"/>
              <w:rPr>
                <w:rFonts w:ascii="Times New Roman" w:hAnsi="Times New Roman" w:eastAsia="Calibri" w:cs="Times New Roman"/>
                <w:sz w:val="20"/>
                <w:szCs w:val="20"/>
              </w:rPr>
            </w:pPr>
            <w:r>
              <w:rPr>
                <w:rFonts w:ascii="Times New Roman" w:hAnsi="Times New Roman" w:eastAsia="Calibri" w:cs="Times New Roman"/>
                <w:sz w:val="20"/>
                <w:szCs w:val="20"/>
              </w:rPr>
              <w:t>норматива</w:t>
            </w:r>
          </w:p>
        </w:tc>
        <w:tc>
          <w:tcPr>
            <w:tcW w:w="6938" w:type="dxa"/>
            <w:gridSpan w:val="4"/>
            <w:tcBorders>
              <w:top w:val="single" w:color="auto" w:sz="4" w:space="0"/>
              <w:left w:val="single" w:color="auto" w:sz="4" w:space="0"/>
              <w:bottom w:val="single" w:color="auto" w:sz="4" w:space="0"/>
              <w:right w:val="single" w:color="auto" w:sz="4" w:space="0"/>
            </w:tcBorders>
            <w:shd w:val="clear" w:color="auto" w:fill="auto"/>
          </w:tcPr>
          <w:p w14:paraId="74CC7C5B">
            <w:pPr>
              <w:spacing w:after="0" w:line="240" w:lineRule="auto"/>
              <w:ind w:left="-113" w:right="-88"/>
              <w:jc w:val="center"/>
              <w:rPr>
                <w:rFonts w:ascii="Times New Roman" w:hAnsi="Times New Roman" w:eastAsia="Calibri" w:cs="Times New Roman"/>
                <w:sz w:val="20"/>
                <w:szCs w:val="20"/>
              </w:rPr>
            </w:pPr>
            <w:r>
              <w:rPr>
                <w:rFonts w:ascii="Times New Roman" w:hAnsi="Times New Roman" w:eastAsia="Calibri" w:cs="Times New Roman"/>
                <w:sz w:val="20"/>
                <w:szCs w:val="20"/>
              </w:rPr>
              <w:t>Государственный орган Кировской области – министерство промышленности, предпринимательства и торговли Кировской области</w:t>
            </w:r>
          </w:p>
        </w:tc>
        <w:tc>
          <w:tcPr>
            <w:tcW w:w="5853" w:type="dxa"/>
            <w:gridSpan w:val="3"/>
            <w:tcBorders>
              <w:top w:val="single" w:color="auto" w:sz="4" w:space="0"/>
              <w:left w:val="single" w:color="auto" w:sz="4" w:space="0"/>
              <w:bottom w:val="single" w:color="auto" w:sz="4" w:space="0"/>
              <w:right w:val="single" w:color="auto" w:sz="4" w:space="0"/>
            </w:tcBorders>
            <w:shd w:val="clear" w:color="auto" w:fill="auto"/>
          </w:tcPr>
          <w:p w14:paraId="63CBB195">
            <w:pPr>
              <w:spacing w:after="0" w:line="240" w:lineRule="auto"/>
              <w:ind w:left="-113" w:right="-88"/>
              <w:jc w:val="center"/>
              <w:rPr>
                <w:rFonts w:ascii="Times New Roman" w:hAnsi="Times New Roman" w:eastAsia="Calibri" w:cs="Times New Roman"/>
                <w:sz w:val="20"/>
                <w:szCs w:val="20"/>
              </w:rPr>
            </w:pPr>
            <w:r>
              <w:rPr>
                <w:rFonts w:ascii="Times New Roman" w:hAnsi="Times New Roman" w:eastAsia="Calibri" w:cs="Times New Roman"/>
                <w:sz w:val="20"/>
                <w:szCs w:val="20"/>
              </w:rPr>
              <w:t xml:space="preserve">Подведомственное учреждение Кировское областное государственное казенное учреждение «Агентство инвестиционного развития Кировской области» </w:t>
            </w:r>
          </w:p>
        </w:tc>
      </w:tr>
      <w:tr w14:paraId="284F8A83">
        <w:tblPrEx>
          <w:tblCellMar>
            <w:top w:w="0" w:type="dxa"/>
            <w:left w:w="108" w:type="dxa"/>
            <w:bottom w:w="0" w:type="dxa"/>
            <w:right w:w="108" w:type="dxa"/>
          </w:tblCellMar>
        </w:tblPrEx>
        <w:trPr>
          <w:trHeight w:val="408" w:hRule="atLeast"/>
        </w:trPr>
        <w:tc>
          <w:tcPr>
            <w:tcW w:w="2235" w:type="dxa"/>
            <w:vMerge w:val="continue"/>
            <w:tcBorders>
              <w:top w:val="single" w:color="auto" w:sz="4" w:space="0"/>
              <w:left w:val="single" w:color="auto" w:sz="4" w:space="0"/>
              <w:bottom w:val="single" w:color="auto" w:sz="4" w:space="0"/>
              <w:right w:val="single" w:color="auto" w:sz="4" w:space="0"/>
            </w:tcBorders>
          </w:tcPr>
          <w:p w14:paraId="7DAF31D4">
            <w:pPr>
              <w:spacing w:after="0" w:line="240" w:lineRule="auto"/>
              <w:ind w:left="-113" w:right="-88"/>
              <w:jc w:val="center"/>
              <w:rPr>
                <w:rFonts w:ascii="Times New Roman" w:hAnsi="Times New Roman" w:eastAsia="Calibri" w:cs="Times New Roman"/>
                <w:sz w:val="20"/>
                <w:szCs w:val="20"/>
              </w:rPr>
            </w:pPr>
          </w:p>
        </w:tc>
        <w:tc>
          <w:tcPr>
            <w:tcW w:w="3251" w:type="dxa"/>
            <w:gridSpan w:val="2"/>
            <w:tcBorders>
              <w:top w:val="single" w:color="auto" w:sz="4" w:space="0"/>
              <w:left w:val="single" w:color="auto" w:sz="4" w:space="0"/>
              <w:bottom w:val="single" w:color="auto" w:sz="4" w:space="0"/>
              <w:right w:val="single" w:color="auto" w:sz="4" w:space="0"/>
            </w:tcBorders>
            <w:shd w:val="clear" w:color="auto" w:fill="auto"/>
          </w:tcPr>
          <w:p w14:paraId="451789FA">
            <w:pPr>
              <w:spacing w:after="0" w:line="240" w:lineRule="auto"/>
              <w:ind w:left="-113" w:right="-88"/>
              <w:jc w:val="center"/>
              <w:rPr>
                <w:rFonts w:ascii="Times New Roman" w:hAnsi="Times New Roman" w:eastAsia="Calibri" w:cs="Times New Roman"/>
                <w:sz w:val="20"/>
                <w:szCs w:val="20"/>
              </w:rPr>
            </w:pPr>
            <w:r>
              <w:rPr>
                <w:rFonts w:ascii="Times New Roman" w:hAnsi="Times New Roman" w:eastAsia="Calibri" w:cs="Times New Roman"/>
                <w:sz w:val="20"/>
                <w:szCs w:val="20"/>
              </w:rPr>
              <w:t>Должности категории «руководители»</w:t>
            </w:r>
          </w:p>
        </w:tc>
        <w:tc>
          <w:tcPr>
            <w:tcW w:w="1951" w:type="dxa"/>
            <w:vMerge w:val="restart"/>
            <w:tcBorders>
              <w:top w:val="single" w:color="auto" w:sz="4" w:space="0"/>
              <w:left w:val="single" w:color="auto" w:sz="4" w:space="0"/>
              <w:bottom w:val="single" w:color="auto" w:sz="4" w:space="0"/>
              <w:right w:val="single" w:color="auto" w:sz="4" w:space="0"/>
            </w:tcBorders>
            <w:shd w:val="clear" w:color="auto" w:fill="auto"/>
          </w:tcPr>
          <w:p w14:paraId="33150E51">
            <w:pPr>
              <w:spacing w:after="0" w:line="240" w:lineRule="auto"/>
              <w:ind w:left="-113" w:right="-88"/>
              <w:jc w:val="center"/>
              <w:rPr>
                <w:rFonts w:ascii="Times New Roman" w:hAnsi="Times New Roman" w:eastAsia="Calibri" w:cs="Times New Roman"/>
                <w:sz w:val="20"/>
                <w:szCs w:val="20"/>
              </w:rPr>
            </w:pPr>
            <w:r>
              <w:rPr>
                <w:rFonts w:ascii="Times New Roman" w:hAnsi="Times New Roman" w:eastAsia="Calibri" w:cs="Times New Roman"/>
                <w:sz w:val="20"/>
                <w:szCs w:val="20"/>
              </w:rPr>
              <w:t>Должности категории «помощники (советники)»</w:t>
            </w:r>
          </w:p>
        </w:tc>
        <w:tc>
          <w:tcPr>
            <w:tcW w:w="1736" w:type="dxa"/>
            <w:vMerge w:val="restart"/>
            <w:tcBorders>
              <w:top w:val="single" w:color="auto" w:sz="4" w:space="0"/>
              <w:left w:val="single" w:color="auto" w:sz="4" w:space="0"/>
              <w:right w:val="single" w:color="auto" w:sz="4" w:space="0"/>
            </w:tcBorders>
            <w:shd w:val="clear" w:color="auto" w:fill="auto"/>
          </w:tcPr>
          <w:p w14:paraId="49D312BD">
            <w:pPr>
              <w:spacing w:after="0" w:line="240" w:lineRule="auto"/>
              <w:ind w:left="-113" w:right="-88"/>
              <w:jc w:val="center"/>
              <w:rPr>
                <w:rFonts w:ascii="Times New Roman" w:hAnsi="Times New Roman" w:eastAsia="Calibri" w:cs="Times New Roman"/>
                <w:sz w:val="20"/>
                <w:szCs w:val="20"/>
              </w:rPr>
            </w:pPr>
            <w:r>
              <w:rPr>
                <w:rFonts w:ascii="Times New Roman" w:hAnsi="Times New Roman" w:eastAsia="Calibri" w:cs="Times New Roman"/>
                <w:sz w:val="20"/>
                <w:szCs w:val="20"/>
              </w:rPr>
              <w:t>Должности категории «специалисты»</w:t>
            </w:r>
          </w:p>
        </w:tc>
        <w:tc>
          <w:tcPr>
            <w:tcW w:w="3902" w:type="dxa"/>
            <w:gridSpan w:val="2"/>
            <w:tcBorders>
              <w:top w:val="single" w:color="auto" w:sz="4" w:space="0"/>
              <w:left w:val="single" w:color="auto" w:sz="4" w:space="0"/>
              <w:bottom w:val="single" w:color="auto" w:sz="4" w:space="0"/>
              <w:right w:val="single" w:color="auto" w:sz="4" w:space="0"/>
            </w:tcBorders>
            <w:shd w:val="clear" w:color="auto" w:fill="auto"/>
          </w:tcPr>
          <w:p w14:paraId="4182CA48">
            <w:pPr>
              <w:spacing w:after="0" w:line="240" w:lineRule="auto"/>
              <w:ind w:left="-113" w:right="-88"/>
              <w:jc w:val="center"/>
              <w:rPr>
                <w:rFonts w:ascii="Times New Roman" w:hAnsi="Times New Roman" w:eastAsia="Calibri" w:cs="Times New Roman"/>
                <w:sz w:val="20"/>
                <w:szCs w:val="20"/>
              </w:rPr>
            </w:pPr>
            <w:r>
              <w:rPr>
                <w:rFonts w:ascii="Times New Roman" w:hAnsi="Times New Roman" w:eastAsia="Calibri" w:cs="Times New Roman"/>
                <w:sz w:val="20"/>
                <w:szCs w:val="20"/>
              </w:rPr>
              <w:t>Должности категории «руководители»</w:t>
            </w:r>
          </w:p>
        </w:tc>
        <w:tc>
          <w:tcPr>
            <w:tcW w:w="1951" w:type="dxa"/>
            <w:vMerge w:val="restart"/>
            <w:tcBorders>
              <w:top w:val="single" w:color="auto" w:sz="4" w:space="0"/>
              <w:left w:val="single" w:color="auto" w:sz="4" w:space="0"/>
              <w:right w:val="single" w:color="auto" w:sz="4" w:space="0"/>
            </w:tcBorders>
            <w:shd w:val="clear" w:color="auto" w:fill="auto"/>
          </w:tcPr>
          <w:p w14:paraId="5196FC07">
            <w:pPr>
              <w:spacing w:after="0" w:line="240" w:lineRule="auto"/>
              <w:ind w:left="-113" w:right="-88"/>
              <w:jc w:val="center"/>
              <w:rPr>
                <w:rFonts w:ascii="Times New Roman" w:hAnsi="Times New Roman" w:eastAsia="Calibri" w:cs="Times New Roman"/>
                <w:sz w:val="20"/>
                <w:szCs w:val="20"/>
              </w:rPr>
            </w:pPr>
            <w:r>
              <w:rPr>
                <w:rFonts w:ascii="Times New Roman" w:hAnsi="Times New Roman" w:eastAsia="Calibri" w:cs="Times New Roman"/>
                <w:sz w:val="20"/>
                <w:szCs w:val="20"/>
              </w:rPr>
              <w:t>Должности категории «специалисты»</w:t>
            </w:r>
          </w:p>
        </w:tc>
      </w:tr>
      <w:tr w14:paraId="29064F6D">
        <w:tblPrEx>
          <w:tblCellMar>
            <w:top w:w="0" w:type="dxa"/>
            <w:left w:w="108" w:type="dxa"/>
            <w:bottom w:w="0" w:type="dxa"/>
            <w:right w:w="108" w:type="dxa"/>
          </w:tblCellMar>
        </w:tblPrEx>
        <w:trPr>
          <w:trHeight w:val="643" w:hRule="atLeast"/>
        </w:trPr>
        <w:tc>
          <w:tcPr>
            <w:tcW w:w="2235" w:type="dxa"/>
            <w:vMerge w:val="continue"/>
            <w:tcBorders>
              <w:top w:val="single" w:color="auto" w:sz="4" w:space="0"/>
              <w:left w:val="single" w:color="auto" w:sz="4" w:space="0"/>
              <w:bottom w:val="single" w:color="auto" w:sz="4" w:space="0"/>
              <w:right w:val="single" w:color="auto" w:sz="4" w:space="0"/>
            </w:tcBorders>
          </w:tcPr>
          <w:p w14:paraId="0E8181A2">
            <w:pPr>
              <w:spacing w:after="0" w:line="240" w:lineRule="auto"/>
              <w:ind w:left="-113" w:right="-88"/>
              <w:jc w:val="center"/>
              <w:rPr>
                <w:rFonts w:ascii="Times New Roman" w:hAnsi="Times New Roman" w:eastAsia="Calibri" w:cs="Times New Roman"/>
                <w:sz w:val="20"/>
                <w:szCs w:val="20"/>
              </w:rPr>
            </w:pPr>
          </w:p>
        </w:tc>
        <w:tc>
          <w:tcPr>
            <w:tcW w:w="1517" w:type="dxa"/>
            <w:tcBorders>
              <w:top w:val="single" w:color="auto" w:sz="4" w:space="0"/>
              <w:left w:val="single" w:color="auto" w:sz="4" w:space="0"/>
              <w:bottom w:val="single" w:color="auto" w:sz="4" w:space="0"/>
              <w:right w:val="single" w:color="auto" w:sz="4" w:space="0"/>
            </w:tcBorders>
            <w:shd w:val="clear" w:color="auto" w:fill="auto"/>
          </w:tcPr>
          <w:p w14:paraId="1956E69E">
            <w:pPr>
              <w:spacing w:after="0" w:line="240" w:lineRule="auto"/>
              <w:ind w:left="-113" w:right="-88"/>
              <w:jc w:val="center"/>
              <w:rPr>
                <w:rFonts w:ascii="Times New Roman" w:hAnsi="Times New Roman" w:eastAsia="Calibri" w:cs="Times New Roman"/>
                <w:sz w:val="20"/>
                <w:szCs w:val="20"/>
              </w:rPr>
            </w:pPr>
            <w:r>
              <w:rPr>
                <w:rFonts w:ascii="Times New Roman" w:hAnsi="Times New Roman" w:eastAsia="Calibri" w:cs="Times New Roman"/>
                <w:sz w:val="20"/>
                <w:szCs w:val="20"/>
              </w:rPr>
              <w:t>Руководитель (заместитель руководителя)</w:t>
            </w:r>
          </w:p>
        </w:tc>
        <w:tc>
          <w:tcPr>
            <w:tcW w:w="1734" w:type="dxa"/>
            <w:tcBorders>
              <w:top w:val="single" w:color="auto" w:sz="4" w:space="0"/>
              <w:left w:val="single" w:color="auto" w:sz="4" w:space="0"/>
              <w:bottom w:val="single" w:color="auto" w:sz="4" w:space="0"/>
              <w:right w:val="single" w:color="auto" w:sz="4" w:space="0"/>
            </w:tcBorders>
            <w:shd w:val="clear" w:color="auto" w:fill="auto"/>
          </w:tcPr>
          <w:p w14:paraId="35D9E8CE">
            <w:pPr>
              <w:spacing w:after="0" w:line="240" w:lineRule="auto"/>
              <w:ind w:left="-113" w:right="-88"/>
              <w:jc w:val="center"/>
              <w:rPr>
                <w:rFonts w:ascii="Times New Roman" w:hAnsi="Times New Roman" w:eastAsia="Calibri" w:cs="Times New Roman"/>
                <w:sz w:val="20"/>
                <w:szCs w:val="20"/>
              </w:rPr>
            </w:pPr>
            <w:r>
              <w:rPr>
                <w:rFonts w:ascii="Times New Roman" w:hAnsi="Times New Roman" w:eastAsia="Calibri" w:cs="Times New Roman"/>
                <w:sz w:val="20"/>
                <w:szCs w:val="20"/>
              </w:rPr>
              <w:t>Руководитель (заместитель руководителя) структурного подразделения</w:t>
            </w:r>
          </w:p>
        </w:tc>
        <w:tc>
          <w:tcPr>
            <w:tcW w:w="1951" w:type="dxa"/>
            <w:vMerge w:val="continue"/>
            <w:tcBorders>
              <w:top w:val="single" w:color="auto" w:sz="4" w:space="0"/>
              <w:left w:val="single" w:color="auto" w:sz="4" w:space="0"/>
              <w:bottom w:val="single" w:color="auto" w:sz="4" w:space="0"/>
              <w:right w:val="single" w:color="auto" w:sz="4" w:space="0"/>
            </w:tcBorders>
            <w:shd w:val="clear" w:color="auto" w:fill="auto"/>
          </w:tcPr>
          <w:p w14:paraId="03C50387">
            <w:pPr>
              <w:spacing w:after="0" w:line="240" w:lineRule="auto"/>
              <w:ind w:left="-113" w:right="-88"/>
              <w:jc w:val="center"/>
              <w:rPr>
                <w:rFonts w:ascii="Times New Roman" w:hAnsi="Times New Roman" w:eastAsia="Calibri" w:cs="Times New Roman"/>
                <w:sz w:val="20"/>
                <w:szCs w:val="20"/>
              </w:rPr>
            </w:pPr>
          </w:p>
        </w:tc>
        <w:tc>
          <w:tcPr>
            <w:tcW w:w="1736" w:type="dxa"/>
            <w:vMerge w:val="continue"/>
            <w:tcBorders>
              <w:left w:val="single" w:color="auto" w:sz="4" w:space="0"/>
              <w:bottom w:val="single" w:color="auto" w:sz="4" w:space="0"/>
              <w:right w:val="single" w:color="auto" w:sz="4" w:space="0"/>
            </w:tcBorders>
          </w:tcPr>
          <w:p w14:paraId="3824F99B">
            <w:pPr>
              <w:spacing w:after="0" w:line="240" w:lineRule="auto"/>
              <w:ind w:left="-113" w:right="-88"/>
              <w:jc w:val="center"/>
              <w:rPr>
                <w:rFonts w:ascii="Times New Roman" w:hAnsi="Times New Roman" w:eastAsia="Calibri" w:cs="Times New Roman"/>
                <w:sz w:val="20"/>
                <w:szCs w:val="20"/>
              </w:rPr>
            </w:pPr>
          </w:p>
        </w:tc>
        <w:tc>
          <w:tcPr>
            <w:tcW w:w="1734" w:type="dxa"/>
            <w:tcBorders>
              <w:top w:val="single" w:color="auto" w:sz="4" w:space="0"/>
              <w:left w:val="single" w:color="auto" w:sz="4" w:space="0"/>
              <w:bottom w:val="single" w:color="auto" w:sz="4" w:space="0"/>
              <w:right w:val="single" w:color="auto" w:sz="4" w:space="0"/>
            </w:tcBorders>
            <w:shd w:val="clear" w:color="auto" w:fill="auto"/>
          </w:tcPr>
          <w:p w14:paraId="7D88858C">
            <w:pPr>
              <w:spacing w:after="0" w:line="240" w:lineRule="auto"/>
              <w:ind w:left="-113" w:right="-88"/>
              <w:jc w:val="center"/>
              <w:rPr>
                <w:rFonts w:ascii="Times New Roman" w:hAnsi="Times New Roman" w:eastAsia="Calibri" w:cs="Times New Roman"/>
                <w:sz w:val="20"/>
                <w:szCs w:val="20"/>
              </w:rPr>
            </w:pPr>
            <w:r>
              <w:rPr>
                <w:rFonts w:ascii="Times New Roman" w:hAnsi="Times New Roman" w:eastAsia="Calibri" w:cs="Times New Roman"/>
                <w:sz w:val="20"/>
                <w:szCs w:val="20"/>
              </w:rPr>
              <w:t>Руководитель (заместитель руководителя)</w:t>
            </w:r>
          </w:p>
        </w:tc>
        <w:tc>
          <w:tcPr>
            <w:tcW w:w="2168" w:type="dxa"/>
            <w:tcBorders>
              <w:top w:val="single" w:color="auto" w:sz="4" w:space="0"/>
              <w:left w:val="single" w:color="auto" w:sz="4" w:space="0"/>
              <w:bottom w:val="single" w:color="auto" w:sz="4" w:space="0"/>
              <w:right w:val="single" w:color="auto" w:sz="4" w:space="0"/>
            </w:tcBorders>
            <w:shd w:val="clear" w:color="auto" w:fill="auto"/>
          </w:tcPr>
          <w:p w14:paraId="79784EAE">
            <w:pPr>
              <w:spacing w:after="0" w:line="240" w:lineRule="auto"/>
              <w:ind w:left="-113" w:right="-88"/>
              <w:jc w:val="center"/>
              <w:rPr>
                <w:rFonts w:ascii="Times New Roman" w:hAnsi="Times New Roman" w:eastAsia="Calibri" w:cs="Times New Roman"/>
                <w:sz w:val="20"/>
                <w:szCs w:val="20"/>
              </w:rPr>
            </w:pPr>
            <w:r>
              <w:rPr>
                <w:rFonts w:ascii="Times New Roman" w:hAnsi="Times New Roman" w:eastAsia="Calibri" w:cs="Times New Roman"/>
                <w:sz w:val="20"/>
                <w:szCs w:val="20"/>
              </w:rPr>
              <w:t>Руководитель (заместитель руководителя) структурного подразделения</w:t>
            </w:r>
          </w:p>
        </w:tc>
        <w:tc>
          <w:tcPr>
            <w:tcW w:w="1951" w:type="dxa"/>
            <w:vMerge w:val="continue"/>
            <w:tcBorders>
              <w:left w:val="single" w:color="auto" w:sz="4" w:space="0"/>
              <w:bottom w:val="single" w:color="auto" w:sz="4" w:space="0"/>
              <w:right w:val="single" w:color="auto" w:sz="4" w:space="0"/>
            </w:tcBorders>
            <w:shd w:val="clear" w:color="auto" w:fill="auto"/>
          </w:tcPr>
          <w:p w14:paraId="176F6F1C">
            <w:pPr>
              <w:spacing w:after="0" w:line="240" w:lineRule="auto"/>
              <w:ind w:left="-113" w:right="-88"/>
              <w:jc w:val="center"/>
              <w:rPr>
                <w:rFonts w:ascii="Times New Roman" w:hAnsi="Times New Roman" w:eastAsia="Calibri" w:cs="Times New Roman"/>
                <w:sz w:val="20"/>
                <w:szCs w:val="20"/>
              </w:rPr>
            </w:pPr>
          </w:p>
        </w:tc>
      </w:tr>
      <w:tr w14:paraId="4B16D881">
        <w:tblPrEx>
          <w:tblCellMar>
            <w:top w:w="0" w:type="dxa"/>
            <w:left w:w="108" w:type="dxa"/>
            <w:bottom w:w="0" w:type="dxa"/>
            <w:right w:w="108" w:type="dxa"/>
          </w:tblCellMar>
        </w:tblPrEx>
        <w:trPr>
          <w:trHeight w:val="303" w:hRule="atLeast"/>
        </w:trPr>
        <w:tc>
          <w:tcPr>
            <w:tcW w:w="2235" w:type="dxa"/>
            <w:tcBorders>
              <w:top w:val="single" w:color="auto" w:sz="4" w:space="0"/>
              <w:left w:val="single" w:color="auto" w:sz="4" w:space="0"/>
              <w:bottom w:val="single" w:color="auto" w:sz="4" w:space="0"/>
              <w:right w:val="single" w:color="auto" w:sz="4" w:space="0"/>
            </w:tcBorders>
          </w:tcPr>
          <w:p w14:paraId="7221E2A9">
            <w:pPr>
              <w:spacing w:after="0" w:line="240" w:lineRule="auto"/>
              <w:ind w:right="-88"/>
              <w:rPr>
                <w:rFonts w:ascii="Times New Roman" w:hAnsi="Times New Roman" w:eastAsia="Calibri" w:cs="Times New Roman"/>
                <w:sz w:val="20"/>
                <w:szCs w:val="20"/>
              </w:rPr>
            </w:pPr>
            <w:r>
              <w:rPr>
                <w:rFonts w:ascii="Times New Roman" w:hAnsi="Times New Roman" w:cs="Times New Roman"/>
                <w:sz w:val="20"/>
                <w:szCs w:val="20"/>
              </w:rPr>
              <w:t>Телефон</w:t>
            </w:r>
          </w:p>
        </w:tc>
        <w:tc>
          <w:tcPr>
            <w:tcW w:w="1517" w:type="dxa"/>
            <w:tcBorders>
              <w:top w:val="single" w:color="auto" w:sz="4" w:space="0"/>
              <w:left w:val="single" w:color="auto" w:sz="4" w:space="0"/>
              <w:bottom w:val="single" w:color="auto" w:sz="4" w:space="0"/>
              <w:right w:val="single" w:color="auto" w:sz="4" w:space="0"/>
            </w:tcBorders>
            <w:shd w:val="clear" w:color="auto" w:fill="auto"/>
          </w:tcPr>
          <w:p w14:paraId="190153F9">
            <w:pPr>
              <w:spacing w:after="0" w:line="240" w:lineRule="auto"/>
              <w:ind w:left="-113" w:right="-88"/>
              <w:jc w:val="center"/>
              <w:rPr>
                <w:rFonts w:ascii="Times New Roman" w:hAnsi="Times New Roman" w:eastAsia="Calibri" w:cs="Times New Roman"/>
                <w:sz w:val="20"/>
                <w:szCs w:val="20"/>
              </w:rPr>
            </w:pPr>
          </w:p>
        </w:tc>
        <w:tc>
          <w:tcPr>
            <w:tcW w:w="1734" w:type="dxa"/>
            <w:tcBorders>
              <w:top w:val="single" w:color="auto" w:sz="4" w:space="0"/>
              <w:left w:val="single" w:color="auto" w:sz="4" w:space="0"/>
              <w:bottom w:val="single" w:color="auto" w:sz="4" w:space="0"/>
              <w:right w:val="single" w:color="auto" w:sz="4" w:space="0"/>
            </w:tcBorders>
            <w:shd w:val="clear" w:color="auto" w:fill="auto"/>
          </w:tcPr>
          <w:p w14:paraId="62FF448E">
            <w:pPr>
              <w:spacing w:after="0" w:line="240" w:lineRule="auto"/>
              <w:ind w:left="-113" w:right="-88"/>
              <w:jc w:val="center"/>
              <w:rPr>
                <w:rFonts w:ascii="Times New Roman" w:hAnsi="Times New Roman" w:eastAsia="Calibri" w:cs="Times New Roman"/>
                <w:sz w:val="20"/>
                <w:szCs w:val="20"/>
              </w:rPr>
            </w:pPr>
          </w:p>
        </w:tc>
        <w:tc>
          <w:tcPr>
            <w:tcW w:w="1951" w:type="dxa"/>
            <w:tcBorders>
              <w:top w:val="single" w:color="auto" w:sz="4" w:space="0"/>
              <w:left w:val="single" w:color="auto" w:sz="4" w:space="0"/>
              <w:bottom w:val="single" w:color="auto" w:sz="4" w:space="0"/>
              <w:right w:val="single" w:color="auto" w:sz="4" w:space="0"/>
            </w:tcBorders>
          </w:tcPr>
          <w:p w14:paraId="75F5F843">
            <w:pPr>
              <w:spacing w:after="0" w:line="240" w:lineRule="auto"/>
              <w:ind w:left="-113" w:right="-88"/>
              <w:jc w:val="center"/>
              <w:rPr>
                <w:rFonts w:ascii="Times New Roman" w:hAnsi="Times New Roman" w:eastAsia="Calibri" w:cs="Times New Roman"/>
                <w:sz w:val="20"/>
                <w:szCs w:val="20"/>
              </w:rPr>
            </w:pPr>
          </w:p>
        </w:tc>
        <w:tc>
          <w:tcPr>
            <w:tcW w:w="1736" w:type="dxa"/>
            <w:tcBorders>
              <w:top w:val="single" w:color="auto" w:sz="4" w:space="0"/>
              <w:left w:val="single" w:color="auto" w:sz="4" w:space="0"/>
              <w:bottom w:val="single" w:color="auto" w:sz="4" w:space="0"/>
              <w:right w:val="single" w:color="auto" w:sz="4" w:space="0"/>
            </w:tcBorders>
          </w:tcPr>
          <w:p w14:paraId="78422C21">
            <w:pPr>
              <w:spacing w:after="0" w:line="240" w:lineRule="auto"/>
              <w:ind w:left="-113" w:right="-88"/>
              <w:jc w:val="center"/>
              <w:rPr>
                <w:rFonts w:ascii="Times New Roman" w:hAnsi="Times New Roman" w:eastAsia="Calibri" w:cs="Times New Roman"/>
                <w:sz w:val="20"/>
                <w:szCs w:val="20"/>
              </w:rPr>
            </w:pPr>
          </w:p>
        </w:tc>
        <w:tc>
          <w:tcPr>
            <w:tcW w:w="1734" w:type="dxa"/>
            <w:tcBorders>
              <w:top w:val="single" w:color="auto" w:sz="4" w:space="0"/>
              <w:left w:val="single" w:color="auto" w:sz="4" w:space="0"/>
              <w:bottom w:val="single" w:color="auto" w:sz="4" w:space="0"/>
              <w:right w:val="single" w:color="auto" w:sz="4" w:space="0"/>
            </w:tcBorders>
            <w:shd w:val="clear" w:color="auto" w:fill="auto"/>
          </w:tcPr>
          <w:p w14:paraId="1DA3EFB1">
            <w:pPr>
              <w:spacing w:after="0" w:line="240" w:lineRule="auto"/>
              <w:ind w:left="-113" w:right="-88"/>
              <w:jc w:val="center"/>
              <w:rPr>
                <w:rFonts w:ascii="Times New Roman" w:hAnsi="Times New Roman" w:eastAsia="Calibri" w:cs="Times New Roman"/>
                <w:sz w:val="20"/>
                <w:szCs w:val="20"/>
              </w:rPr>
            </w:pPr>
          </w:p>
        </w:tc>
        <w:tc>
          <w:tcPr>
            <w:tcW w:w="2168" w:type="dxa"/>
            <w:tcBorders>
              <w:top w:val="single" w:color="auto" w:sz="4" w:space="0"/>
              <w:left w:val="single" w:color="auto" w:sz="4" w:space="0"/>
              <w:bottom w:val="single" w:color="auto" w:sz="4" w:space="0"/>
              <w:right w:val="single" w:color="auto" w:sz="4" w:space="0"/>
            </w:tcBorders>
            <w:shd w:val="clear" w:color="auto" w:fill="auto"/>
          </w:tcPr>
          <w:p w14:paraId="352F1CF6">
            <w:pPr>
              <w:spacing w:after="0" w:line="240" w:lineRule="auto"/>
              <w:ind w:left="-113" w:right="-88"/>
              <w:jc w:val="center"/>
              <w:rPr>
                <w:rFonts w:ascii="Times New Roman" w:hAnsi="Times New Roman" w:eastAsia="Calibri" w:cs="Times New Roman"/>
                <w:sz w:val="20"/>
                <w:szCs w:val="20"/>
              </w:rPr>
            </w:pPr>
          </w:p>
        </w:tc>
        <w:tc>
          <w:tcPr>
            <w:tcW w:w="1951" w:type="dxa"/>
            <w:tcBorders>
              <w:top w:val="single" w:color="auto" w:sz="4" w:space="0"/>
              <w:left w:val="single" w:color="auto" w:sz="4" w:space="0"/>
              <w:bottom w:val="single" w:color="auto" w:sz="4" w:space="0"/>
              <w:right w:val="single" w:color="auto" w:sz="4" w:space="0"/>
            </w:tcBorders>
          </w:tcPr>
          <w:p w14:paraId="6B76E407">
            <w:pPr>
              <w:spacing w:after="0" w:line="240" w:lineRule="auto"/>
              <w:ind w:left="-113" w:right="-88"/>
              <w:jc w:val="center"/>
              <w:rPr>
                <w:rFonts w:ascii="Times New Roman" w:hAnsi="Times New Roman" w:eastAsia="Calibri" w:cs="Times New Roman"/>
                <w:sz w:val="20"/>
                <w:szCs w:val="20"/>
              </w:rPr>
            </w:pPr>
          </w:p>
        </w:tc>
      </w:tr>
      <w:tr w14:paraId="5C1E634F">
        <w:tblPrEx>
          <w:tblCellMar>
            <w:top w:w="0" w:type="dxa"/>
            <w:left w:w="108" w:type="dxa"/>
            <w:bottom w:w="0" w:type="dxa"/>
            <w:right w:w="108" w:type="dxa"/>
          </w:tblCellMar>
        </w:tblPrEx>
        <w:trPr>
          <w:trHeight w:val="303" w:hRule="atLeast"/>
        </w:trPr>
        <w:tc>
          <w:tcPr>
            <w:tcW w:w="2235" w:type="dxa"/>
            <w:tcBorders>
              <w:top w:val="single" w:color="auto" w:sz="4" w:space="0"/>
              <w:left w:val="single" w:color="auto" w:sz="4" w:space="0"/>
              <w:bottom w:val="single" w:color="auto" w:sz="4" w:space="0"/>
              <w:right w:val="single" w:color="auto" w:sz="4" w:space="0"/>
            </w:tcBorders>
          </w:tcPr>
          <w:p w14:paraId="467C9F5C">
            <w:pPr>
              <w:spacing w:after="0" w:line="240" w:lineRule="auto"/>
              <w:ind w:right="-88"/>
              <w:rPr>
                <w:rFonts w:ascii="Times New Roman" w:hAnsi="Times New Roman" w:eastAsia="Calibri" w:cs="Times New Roman"/>
                <w:sz w:val="20"/>
                <w:szCs w:val="20"/>
              </w:rPr>
            </w:pPr>
            <w:r>
              <w:rPr>
                <w:rFonts w:ascii="Times New Roman" w:hAnsi="Times New Roman" w:eastAsia="Calibri" w:cs="Times New Roman"/>
                <w:sz w:val="20"/>
                <w:szCs w:val="20"/>
              </w:rPr>
              <w:t>Норматив количества</w:t>
            </w:r>
          </w:p>
        </w:tc>
        <w:tc>
          <w:tcPr>
            <w:tcW w:w="1517" w:type="dxa"/>
            <w:tcBorders>
              <w:top w:val="single" w:color="auto" w:sz="4" w:space="0"/>
              <w:left w:val="single" w:color="auto" w:sz="4" w:space="0"/>
              <w:bottom w:val="single" w:color="auto" w:sz="4" w:space="0"/>
              <w:right w:val="single" w:color="auto" w:sz="4" w:space="0"/>
            </w:tcBorders>
            <w:shd w:val="clear" w:color="auto" w:fill="auto"/>
          </w:tcPr>
          <w:p w14:paraId="35FA65BD">
            <w:pPr>
              <w:spacing w:after="0" w:line="240" w:lineRule="auto"/>
              <w:ind w:left="-113" w:right="-88"/>
              <w:jc w:val="center"/>
              <w:rPr>
                <w:rFonts w:ascii="Times New Roman" w:hAnsi="Times New Roman" w:eastAsia="Calibri" w:cs="Times New Roman"/>
                <w:sz w:val="20"/>
                <w:szCs w:val="20"/>
              </w:rPr>
            </w:pPr>
            <w:r>
              <w:rPr>
                <w:rFonts w:ascii="Times New Roman" w:hAnsi="Times New Roman" w:eastAsia="Calibri" w:cs="Times New Roman"/>
                <w:sz w:val="20"/>
                <w:szCs w:val="20"/>
              </w:rPr>
              <w:t>не более 1единицы на 1 работника</w:t>
            </w:r>
          </w:p>
        </w:tc>
        <w:tc>
          <w:tcPr>
            <w:tcW w:w="1734" w:type="dxa"/>
            <w:tcBorders>
              <w:top w:val="single" w:color="auto" w:sz="4" w:space="0"/>
              <w:left w:val="single" w:color="auto" w:sz="4" w:space="0"/>
              <w:bottom w:val="single" w:color="auto" w:sz="4" w:space="0"/>
              <w:right w:val="single" w:color="auto" w:sz="4" w:space="0"/>
            </w:tcBorders>
            <w:shd w:val="clear" w:color="auto" w:fill="auto"/>
          </w:tcPr>
          <w:p w14:paraId="621DCAEA">
            <w:pPr>
              <w:spacing w:after="0" w:line="240" w:lineRule="auto"/>
              <w:ind w:left="-113" w:right="-88"/>
              <w:jc w:val="center"/>
              <w:rPr>
                <w:rFonts w:ascii="Times New Roman" w:hAnsi="Times New Roman" w:eastAsia="Calibri" w:cs="Times New Roman"/>
                <w:sz w:val="20"/>
                <w:szCs w:val="20"/>
              </w:rPr>
            </w:pPr>
            <w:r>
              <w:rPr>
                <w:rFonts w:ascii="Times New Roman" w:hAnsi="Times New Roman" w:eastAsia="Calibri" w:cs="Times New Roman"/>
                <w:sz w:val="20"/>
                <w:szCs w:val="20"/>
              </w:rPr>
              <w:t>не более 1 единицы на одного работника</w:t>
            </w:r>
          </w:p>
        </w:tc>
        <w:tc>
          <w:tcPr>
            <w:tcW w:w="1951" w:type="dxa"/>
            <w:tcBorders>
              <w:top w:val="single" w:color="auto" w:sz="4" w:space="0"/>
              <w:left w:val="single" w:color="auto" w:sz="4" w:space="0"/>
              <w:bottom w:val="single" w:color="auto" w:sz="4" w:space="0"/>
              <w:right w:val="single" w:color="auto" w:sz="4" w:space="0"/>
            </w:tcBorders>
          </w:tcPr>
          <w:p w14:paraId="2BFE693F">
            <w:pPr>
              <w:spacing w:after="0" w:line="240" w:lineRule="auto"/>
              <w:ind w:left="-113" w:right="-88"/>
              <w:jc w:val="center"/>
              <w:rPr>
                <w:rFonts w:ascii="Times New Roman" w:hAnsi="Times New Roman" w:eastAsia="Calibri" w:cs="Times New Roman"/>
                <w:sz w:val="20"/>
                <w:szCs w:val="20"/>
              </w:rPr>
            </w:pPr>
            <w:r>
              <w:rPr>
                <w:rFonts w:ascii="Times New Roman" w:hAnsi="Times New Roman" w:eastAsia="Calibri" w:cs="Times New Roman"/>
                <w:sz w:val="20"/>
                <w:szCs w:val="20"/>
              </w:rPr>
              <w:t>не более 1 единицы на 1 работника</w:t>
            </w:r>
          </w:p>
        </w:tc>
        <w:tc>
          <w:tcPr>
            <w:tcW w:w="1736" w:type="dxa"/>
            <w:tcBorders>
              <w:top w:val="single" w:color="auto" w:sz="4" w:space="0"/>
              <w:left w:val="single" w:color="auto" w:sz="4" w:space="0"/>
              <w:bottom w:val="single" w:color="auto" w:sz="4" w:space="0"/>
              <w:right w:val="single" w:color="auto" w:sz="4" w:space="0"/>
            </w:tcBorders>
          </w:tcPr>
          <w:p w14:paraId="5A18617D">
            <w:pPr>
              <w:spacing w:after="0" w:line="240" w:lineRule="auto"/>
              <w:ind w:left="-113" w:right="-88"/>
              <w:jc w:val="center"/>
              <w:rPr>
                <w:rFonts w:ascii="Times New Roman" w:hAnsi="Times New Roman" w:eastAsia="Calibri" w:cs="Times New Roman"/>
                <w:sz w:val="20"/>
                <w:szCs w:val="20"/>
              </w:rPr>
            </w:pPr>
            <w:r>
              <w:rPr>
                <w:rFonts w:ascii="Times New Roman" w:hAnsi="Times New Roman" w:eastAsia="Calibri" w:cs="Times New Roman"/>
                <w:sz w:val="20"/>
                <w:szCs w:val="20"/>
              </w:rPr>
              <w:t>не более 1единица на 1 работника</w:t>
            </w:r>
          </w:p>
        </w:tc>
        <w:tc>
          <w:tcPr>
            <w:tcW w:w="1734" w:type="dxa"/>
            <w:tcBorders>
              <w:top w:val="single" w:color="auto" w:sz="4" w:space="0"/>
              <w:left w:val="single" w:color="auto" w:sz="4" w:space="0"/>
              <w:bottom w:val="single" w:color="auto" w:sz="4" w:space="0"/>
              <w:right w:val="single" w:color="auto" w:sz="4" w:space="0"/>
            </w:tcBorders>
            <w:shd w:val="clear" w:color="auto" w:fill="auto"/>
          </w:tcPr>
          <w:p w14:paraId="7460DCD0">
            <w:pPr>
              <w:spacing w:after="0" w:line="240" w:lineRule="auto"/>
              <w:ind w:left="-113" w:right="-88"/>
              <w:jc w:val="center"/>
              <w:rPr>
                <w:rFonts w:ascii="Times New Roman" w:hAnsi="Times New Roman" w:eastAsia="Calibri" w:cs="Times New Roman"/>
                <w:sz w:val="20"/>
                <w:szCs w:val="20"/>
              </w:rPr>
            </w:pPr>
            <w:r>
              <w:rPr>
                <w:rFonts w:ascii="Times New Roman" w:hAnsi="Times New Roman" w:eastAsia="Calibri" w:cs="Times New Roman"/>
                <w:sz w:val="20"/>
                <w:szCs w:val="20"/>
              </w:rPr>
              <w:t>не более 1 единицы на одного работника 1</w:t>
            </w:r>
          </w:p>
        </w:tc>
        <w:tc>
          <w:tcPr>
            <w:tcW w:w="2168" w:type="dxa"/>
            <w:tcBorders>
              <w:top w:val="single" w:color="auto" w:sz="4" w:space="0"/>
              <w:left w:val="single" w:color="auto" w:sz="4" w:space="0"/>
              <w:bottom w:val="single" w:color="auto" w:sz="4" w:space="0"/>
              <w:right w:val="single" w:color="auto" w:sz="4" w:space="0"/>
            </w:tcBorders>
            <w:shd w:val="clear" w:color="auto" w:fill="auto"/>
          </w:tcPr>
          <w:p w14:paraId="430400B0">
            <w:pPr>
              <w:spacing w:after="0" w:line="240" w:lineRule="auto"/>
              <w:ind w:left="-113" w:right="-88"/>
              <w:jc w:val="center"/>
              <w:rPr>
                <w:rFonts w:ascii="Times New Roman" w:hAnsi="Times New Roman" w:eastAsia="Calibri" w:cs="Times New Roman"/>
                <w:sz w:val="20"/>
                <w:szCs w:val="20"/>
              </w:rPr>
            </w:pPr>
            <w:r>
              <w:rPr>
                <w:rFonts w:ascii="Times New Roman" w:hAnsi="Times New Roman" w:eastAsia="Calibri" w:cs="Times New Roman"/>
                <w:sz w:val="20"/>
                <w:szCs w:val="20"/>
              </w:rPr>
              <w:t>не более 1 единицы на 1 работника</w:t>
            </w:r>
          </w:p>
        </w:tc>
        <w:tc>
          <w:tcPr>
            <w:tcW w:w="1951" w:type="dxa"/>
            <w:tcBorders>
              <w:top w:val="single" w:color="auto" w:sz="4" w:space="0"/>
              <w:left w:val="single" w:color="auto" w:sz="4" w:space="0"/>
              <w:bottom w:val="single" w:color="auto" w:sz="4" w:space="0"/>
              <w:right w:val="single" w:color="auto" w:sz="4" w:space="0"/>
            </w:tcBorders>
          </w:tcPr>
          <w:p w14:paraId="0B9B33C9">
            <w:pPr>
              <w:spacing w:after="0" w:line="240" w:lineRule="auto"/>
              <w:ind w:left="-113" w:right="-88"/>
              <w:jc w:val="center"/>
              <w:rPr>
                <w:rFonts w:ascii="Times New Roman" w:hAnsi="Times New Roman" w:eastAsia="Calibri" w:cs="Times New Roman"/>
                <w:sz w:val="20"/>
                <w:szCs w:val="20"/>
              </w:rPr>
            </w:pPr>
            <w:r>
              <w:rPr>
                <w:rFonts w:ascii="Times New Roman" w:hAnsi="Times New Roman" w:eastAsia="Calibri" w:cs="Times New Roman"/>
                <w:sz w:val="20"/>
                <w:szCs w:val="20"/>
              </w:rPr>
              <w:t>не более 1 единицы на 1 работника</w:t>
            </w:r>
          </w:p>
        </w:tc>
      </w:tr>
      <w:tr w14:paraId="464228F8">
        <w:tblPrEx>
          <w:tblCellMar>
            <w:top w:w="0" w:type="dxa"/>
            <w:left w:w="108" w:type="dxa"/>
            <w:bottom w:w="0" w:type="dxa"/>
            <w:right w:w="108" w:type="dxa"/>
          </w:tblCellMar>
        </w:tblPrEx>
        <w:trPr>
          <w:trHeight w:val="303" w:hRule="atLeast"/>
        </w:trPr>
        <w:tc>
          <w:tcPr>
            <w:tcW w:w="2235" w:type="dxa"/>
            <w:tcBorders>
              <w:top w:val="single" w:color="auto" w:sz="4" w:space="0"/>
              <w:left w:val="single" w:color="auto" w:sz="4" w:space="0"/>
              <w:bottom w:val="single" w:color="auto" w:sz="4" w:space="0"/>
              <w:right w:val="single" w:color="auto" w:sz="4" w:space="0"/>
            </w:tcBorders>
          </w:tcPr>
          <w:p w14:paraId="14D4BDDF">
            <w:pPr>
              <w:spacing w:after="0" w:line="240" w:lineRule="auto"/>
              <w:ind w:right="-88"/>
              <w:rPr>
                <w:rFonts w:ascii="Times New Roman" w:hAnsi="Times New Roman" w:eastAsia="Calibri" w:cs="Times New Roman"/>
                <w:sz w:val="20"/>
                <w:szCs w:val="20"/>
              </w:rPr>
            </w:pPr>
            <w:r>
              <w:rPr>
                <w:rFonts w:ascii="Times New Roman" w:hAnsi="Times New Roman" w:eastAsia="Calibri" w:cs="Times New Roman"/>
                <w:sz w:val="20"/>
                <w:szCs w:val="20"/>
              </w:rPr>
              <w:t>Норматив цены за единицу (рублей)</w:t>
            </w:r>
          </w:p>
        </w:tc>
        <w:tc>
          <w:tcPr>
            <w:tcW w:w="1517" w:type="dxa"/>
            <w:tcBorders>
              <w:top w:val="single" w:color="auto" w:sz="4" w:space="0"/>
              <w:left w:val="single" w:color="auto" w:sz="4" w:space="0"/>
              <w:bottom w:val="single" w:color="auto" w:sz="4" w:space="0"/>
              <w:right w:val="single" w:color="auto" w:sz="4" w:space="0"/>
            </w:tcBorders>
            <w:shd w:val="clear" w:color="auto" w:fill="auto"/>
          </w:tcPr>
          <w:p w14:paraId="4084C444">
            <w:pPr>
              <w:spacing w:after="0" w:line="240" w:lineRule="auto"/>
              <w:ind w:left="-113" w:right="-88"/>
              <w:jc w:val="center"/>
              <w:rPr>
                <w:rFonts w:ascii="Times New Roman" w:hAnsi="Times New Roman" w:eastAsia="Calibri" w:cs="Times New Roman"/>
                <w:sz w:val="20"/>
                <w:szCs w:val="20"/>
              </w:rPr>
            </w:pPr>
            <w:r>
              <w:rPr>
                <w:rFonts w:ascii="Times New Roman" w:hAnsi="Times New Roman" w:eastAsia="Calibri" w:cs="Times New Roman"/>
                <w:sz w:val="20"/>
                <w:szCs w:val="20"/>
              </w:rPr>
              <w:t>не более 5000,00</w:t>
            </w:r>
          </w:p>
        </w:tc>
        <w:tc>
          <w:tcPr>
            <w:tcW w:w="1734" w:type="dxa"/>
            <w:tcBorders>
              <w:top w:val="single" w:color="auto" w:sz="4" w:space="0"/>
              <w:left w:val="single" w:color="auto" w:sz="4" w:space="0"/>
              <w:bottom w:val="single" w:color="auto" w:sz="4" w:space="0"/>
              <w:right w:val="single" w:color="auto" w:sz="4" w:space="0"/>
            </w:tcBorders>
            <w:shd w:val="clear" w:color="auto" w:fill="auto"/>
          </w:tcPr>
          <w:p w14:paraId="406A3DA5">
            <w:pPr>
              <w:spacing w:after="0" w:line="240" w:lineRule="auto"/>
              <w:ind w:left="-113" w:right="-88"/>
              <w:jc w:val="center"/>
              <w:rPr>
                <w:rFonts w:ascii="Times New Roman" w:hAnsi="Times New Roman" w:eastAsia="Calibri" w:cs="Times New Roman"/>
                <w:sz w:val="20"/>
                <w:szCs w:val="20"/>
              </w:rPr>
            </w:pPr>
            <w:r>
              <w:rPr>
                <w:rFonts w:ascii="Times New Roman" w:hAnsi="Times New Roman" w:eastAsia="Calibri" w:cs="Times New Roman"/>
                <w:sz w:val="20"/>
                <w:szCs w:val="20"/>
              </w:rPr>
              <w:t>не более 5000,00</w:t>
            </w:r>
          </w:p>
        </w:tc>
        <w:tc>
          <w:tcPr>
            <w:tcW w:w="1951" w:type="dxa"/>
            <w:tcBorders>
              <w:top w:val="single" w:color="auto" w:sz="4" w:space="0"/>
              <w:left w:val="single" w:color="auto" w:sz="4" w:space="0"/>
              <w:bottom w:val="single" w:color="auto" w:sz="4" w:space="0"/>
              <w:right w:val="single" w:color="auto" w:sz="4" w:space="0"/>
            </w:tcBorders>
          </w:tcPr>
          <w:p w14:paraId="46CBADB8">
            <w:pPr>
              <w:spacing w:after="0" w:line="240" w:lineRule="auto"/>
              <w:ind w:left="-113" w:right="-88"/>
              <w:jc w:val="center"/>
              <w:rPr>
                <w:rFonts w:ascii="Times New Roman" w:hAnsi="Times New Roman" w:eastAsia="Calibri" w:cs="Times New Roman"/>
                <w:sz w:val="20"/>
                <w:szCs w:val="20"/>
              </w:rPr>
            </w:pPr>
            <w:r>
              <w:rPr>
                <w:rFonts w:ascii="Times New Roman" w:hAnsi="Times New Roman" w:eastAsia="Calibri" w:cs="Times New Roman"/>
                <w:sz w:val="20"/>
                <w:szCs w:val="20"/>
              </w:rPr>
              <w:t>не более 3000,00</w:t>
            </w:r>
          </w:p>
        </w:tc>
        <w:tc>
          <w:tcPr>
            <w:tcW w:w="1736" w:type="dxa"/>
            <w:tcBorders>
              <w:top w:val="single" w:color="auto" w:sz="4" w:space="0"/>
              <w:left w:val="single" w:color="auto" w:sz="4" w:space="0"/>
              <w:bottom w:val="single" w:color="auto" w:sz="4" w:space="0"/>
              <w:right w:val="single" w:color="auto" w:sz="4" w:space="0"/>
            </w:tcBorders>
          </w:tcPr>
          <w:p w14:paraId="0ED45053">
            <w:pPr>
              <w:spacing w:after="0" w:line="240" w:lineRule="auto"/>
              <w:ind w:left="-113" w:right="-88"/>
              <w:jc w:val="center"/>
              <w:rPr>
                <w:rFonts w:ascii="Times New Roman" w:hAnsi="Times New Roman" w:eastAsia="Calibri" w:cs="Times New Roman"/>
                <w:sz w:val="20"/>
                <w:szCs w:val="20"/>
              </w:rPr>
            </w:pPr>
            <w:r>
              <w:rPr>
                <w:rFonts w:ascii="Times New Roman" w:hAnsi="Times New Roman" w:eastAsia="Calibri" w:cs="Times New Roman"/>
                <w:sz w:val="20"/>
                <w:szCs w:val="20"/>
              </w:rPr>
              <w:t>не более 3000,00</w:t>
            </w:r>
          </w:p>
        </w:tc>
        <w:tc>
          <w:tcPr>
            <w:tcW w:w="1734" w:type="dxa"/>
            <w:tcBorders>
              <w:top w:val="single" w:color="auto" w:sz="4" w:space="0"/>
              <w:left w:val="single" w:color="auto" w:sz="4" w:space="0"/>
              <w:bottom w:val="single" w:color="auto" w:sz="4" w:space="0"/>
              <w:right w:val="single" w:color="auto" w:sz="4" w:space="0"/>
            </w:tcBorders>
            <w:shd w:val="clear" w:color="auto" w:fill="auto"/>
          </w:tcPr>
          <w:p w14:paraId="021A49E3">
            <w:pPr>
              <w:spacing w:after="0" w:line="240" w:lineRule="auto"/>
              <w:ind w:left="-113" w:right="-88"/>
              <w:jc w:val="center"/>
              <w:rPr>
                <w:rFonts w:ascii="Times New Roman" w:hAnsi="Times New Roman" w:eastAsia="Calibri" w:cs="Times New Roman"/>
                <w:sz w:val="20"/>
                <w:szCs w:val="20"/>
              </w:rPr>
            </w:pPr>
            <w:r>
              <w:rPr>
                <w:rFonts w:ascii="Times New Roman" w:hAnsi="Times New Roman" w:eastAsia="Calibri" w:cs="Times New Roman"/>
                <w:sz w:val="20"/>
                <w:szCs w:val="20"/>
              </w:rPr>
              <w:t>не более 3000,00</w:t>
            </w:r>
          </w:p>
        </w:tc>
        <w:tc>
          <w:tcPr>
            <w:tcW w:w="2168" w:type="dxa"/>
            <w:tcBorders>
              <w:top w:val="single" w:color="auto" w:sz="4" w:space="0"/>
              <w:left w:val="single" w:color="auto" w:sz="4" w:space="0"/>
              <w:bottom w:val="single" w:color="auto" w:sz="4" w:space="0"/>
              <w:right w:val="single" w:color="auto" w:sz="4" w:space="0"/>
            </w:tcBorders>
            <w:shd w:val="clear" w:color="auto" w:fill="auto"/>
          </w:tcPr>
          <w:p w14:paraId="459132C0">
            <w:pPr>
              <w:spacing w:after="0" w:line="240" w:lineRule="auto"/>
              <w:ind w:left="-113" w:right="-88"/>
              <w:jc w:val="center"/>
              <w:rPr>
                <w:rFonts w:ascii="Times New Roman" w:hAnsi="Times New Roman" w:eastAsia="Calibri" w:cs="Times New Roman"/>
                <w:sz w:val="20"/>
                <w:szCs w:val="20"/>
              </w:rPr>
            </w:pPr>
            <w:r>
              <w:rPr>
                <w:rFonts w:ascii="Times New Roman" w:hAnsi="Times New Roman" w:eastAsia="Calibri" w:cs="Times New Roman"/>
                <w:sz w:val="20"/>
                <w:szCs w:val="20"/>
              </w:rPr>
              <w:t>не более 3000,00</w:t>
            </w:r>
          </w:p>
        </w:tc>
        <w:tc>
          <w:tcPr>
            <w:tcW w:w="1951" w:type="dxa"/>
            <w:tcBorders>
              <w:top w:val="single" w:color="auto" w:sz="4" w:space="0"/>
              <w:left w:val="single" w:color="auto" w:sz="4" w:space="0"/>
              <w:bottom w:val="single" w:color="auto" w:sz="4" w:space="0"/>
              <w:right w:val="single" w:color="auto" w:sz="4" w:space="0"/>
            </w:tcBorders>
          </w:tcPr>
          <w:p w14:paraId="6E54CCD0">
            <w:pPr>
              <w:spacing w:after="0" w:line="240" w:lineRule="auto"/>
              <w:ind w:left="-113" w:right="-88"/>
              <w:jc w:val="center"/>
              <w:rPr>
                <w:rFonts w:ascii="Times New Roman" w:hAnsi="Times New Roman" w:eastAsia="Calibri" w:cs="Times New Roman"/>
                <w:sz w:val="20"/>
                <w:szCs w:val="20"/>
              </w:rPr>
            </w:pPr>
            <w:r>
              <w:rPr>
                <w:rFonts w:ascii="Times New Roman" w:hAnsi="Times New Roman" w:eastAsia="Calibri" w:cs="Times New Roman"/>
                <w:sz w:val="20"/>
                <w:szCs w:val="20"/>
              </w:rPr>
              <w:t>не более 3000,00</w:t>
            </w:r>
          </w:p>
        </w:tc>
      </w:tr>
      <w:tr w14:paraId="47CBF84B">
        <w:tblPrEx>
          <w:tblCellMar>
            <w:top w:w="0" w:type="dxa"/>
            <w:left w:w="108" w:type="dxa"/>
            <w:bottom w:w="0" w:type="dxa"/>
            <w:right w:w="108" w:type="dxa"/>
          </w:tblCellMar>
        </w:tblPrEx>
        <w:trPr>
          <w:trHeight w:val="303" w:hRule="atLeast"/>
        </w:trPr>
        <w:tc>
          <w:tcPr>
            <w:tcW w:w="2235" w:type="dxa"/>
            <w:tcBorders>
              <w:top w:val="single" w:color="auto" w:sz="4" w:space="0"/>
              <w:left w:val="single" w:color="auto" w:sz="4" w:space="0"/>
              <w:bottom w:val="single" w:color="auto" w:sz="4" w:space="0"/>
              <w:right w:val="single" w:color="auto" w:sz="4" w:space="0"/>
            </w:tcBorders>
          </w:tcPr>
          <w:p w14:paraId="732A9106">
            <w:pPr>
              <w:spacing w:after="0" w:line="240" w:lineRule="auto"/>
              <w:ind w:right="-88"/>
              <w:rPr>
                <w:rFonts w:ascii="Times New Roman" w:hAnsi="Times New Roman" w:eastAsia="Calibri" w:cs="Times New Roman"/>
                <w:sz w:val="20"/>
                <w:szCs w:val="20"/>
              </w:rPr>
            </w:pPr>
            <w:r>
              <w:rPr>
                <w:rFonts w:ascii="Times New Roman" w:hAnsi="Times New Roman" w:eastAsia="Calibri" w:cs="Times New Roman"/>
                <w:sz w:val="20"/>
                <w:szCs w:val="20"/>
              </w:rPr>
              <w:t>Диктофон</w:t>
            </w:r>
          </w:p>
        </w:tc>
        <w:tc>
          <w:tcPr>
            <w:tcW w:w="1517" w:type="dxa"/>
            <w:tcBorders>
              <w:top w:val="single" w:color="auto" w:sz="4" w:space="0"/>
              <w:left w:val="single" w:color="auto" w:sz="4" w:space="0"/>
              <w:bottom w:val="single" w:color="auto" w:sz="4" w:space="0"/>
              <w:right w:val="single" w:color="auto" w:sz="4" w:space="0"/>
            </w:tcBorders>
            <w:shd w:val="clear" w:color="auto" w:fill="auto"/>
          </w:tcPr>
          <w:p w14:paraId="430A98B4">
            <w:pPr>
              <w:spacing w:after="0" w:line="240" w:lineRule="auto"/>
              <w:ind w:left="-113" w:right="-88"/>
              <w:jc w:val="center"/>
              <w:rPr>
                <w:rFonts w:ascii="Times New Roman" w:hAnsi="Times New Roman" w:eastAsia="Calibri" w:cs="Times New Roman"/>
                <w:sz w:val="20"/>
                <w:szCs w:val="20"/>
              </w:rPr>
            </w:pPr>
          </w:p>
        </w:tc>
        <w:tc>
          <w:tcPr>
            <w:tcW w:w="1734" w:type="dxa"/>
            <w:tcBorders>
              <w:top w:val="single" w:color="auto" w:sz="4" w:space="0"/>
              <w:left w:val="single" w:color="auto" w:sz="4" w:space="0"/>
              <w:bottom w:val="single" w:color="auto" w:sz="4" w:space="0"/>
              <w:right w:val="single" w:color="auto" w:sz="4" w:space="0"/>
            </w:tcBorders>
            <w:shd w:val="clear" w:color="auto" w:fill="auto"/>
          </w:tcPr>
          <w:p w14:paraId="0890FF3F">
            <w:pPr>
              <w:spacing w:after="0" w:line="240" w:lineRule="auto"/>
              <w:ind w:left="-113" w:right="-88"/>
              <w:jc w:val="center"/>
              <w:rPr>
                <w:rFonts w:ascii="Times New Roman" w:hAnsi="Times New Roman" w:eastAsia="Calibri" w:cs="Times New Roman"/>
                <w:sz w:val="20"/>
                <w:szCs w:val="20"/>
              </w:rPr>
            </w:pPr>
          </w:p>
        </w:tc>
        <w:tc>
          <w:tcPr>
            <w:tcW w:w="1951" w:type="dxa"/>
            <w:tcBorders>
              <w:top w:val="single" w:color="auto" w:sz="4" w:space="0"/>
              <w:left w:val="single" w:color="auto" w:sz="4" w:space="0"/>
              <w:bottom w:val="single" w:color="auto" w:sz="4" w:space="0"/>
              <w:right w:val="single" w:color="auto" w:sz="4" w:space="0"/>
            </w:tcBorders>
          </w:tcPr>
          <w:p w14:paraId="3D9CBCCC">
            <w:pPr>
              <w:spacing w:after="0" w:line="240" w:lineRule="auto"/>
              <w:ind w:left="-113" w:right="-88"/>
              <w:jc w:val="center"/>
              <w:rPr>
                <w:rFonts w:ascii="Times New Roman" w:hAnsi="Times New Roman" w:eastAsia="Calibri" w:cs="Times New Roman"/>
                <w:sz w:val="20"/>
                <w:szCs w:val="20"/>
              </w:rPr>
            </w:pPr>
          </w:p>
        </w:tc>
        <w:tc>
          <w:tcPr>
            <w:tcW w:w="1736" w:type="dxa"/>
            <w:tcBorders>
              <w:top w:val="single" w:color="auto" w:sz="4" w:space="0"/>
              <w:left w:val="single" w:color="auto" w:sz="4" w:space="0"/>
              <w:bottom w:val="single" w:color="auto" w:sz="4" w:space="0"/>
              <w:right w:val="single" w:color="auto" w:sz="4" w:space="0"/>
            </w:tcBorders>
          </w:tcPr>
          <w:p w14:paraId="4103BEB1">
            <w:pPr>
              <w:spacing w:after="0" w:line="240" w:lineRule="auto"/>
              <w:ind w:left="-113" w:right="-88"/>
              <w:jc w:val="center"/>
              <w:rPr>
                <w:rFonts w:ascii="Times New Roman" w:hAnsi="Times New Roman" w:eastAsia="Calibri" w:cs="Times New Roman"/>
                <w:sz w:val="20"/>
                <w:szCs w:val="20"/>
              </w:rPr>
            </w:pPr>
          </w:p>
        </w:tc>
        <w:tc>
          <w:tcPr>
            <w:tcW w:w="1734" w:type="dxa"/>
            <w:tcBorders>
              <w:top w:val="single" w:color="auto" w:sz="4" w:space="0"/>
              <w:left w:val="single" w:color="auto" w:sz="4" w:space="0"/>
              <w:bottom w:val="single" w:color="auto" w:sz="4" w:space="0"/>
              <w:right w:val="single" w:color="auto" w:sz="4" w:space="0"/>
            </w:tcBorders>
            <w:shd w:val="clear" w:color="auto" w:fill="auto"/>
          </w:tcPr>
          <w:p w14:paraId="47B76B4F">
            <w:pPr>
              <w:spacing w:after="0" w:line="240" w:lineRule="auto"/>
              <w:ind w:left="-113" w:right="-88"/>
              <w:jc w:val="center"/>
              <w:rPr>
                <w:rFonts w:ascii="Times New Roman" w:hAnsi="Times New Roman" w:eastAsia="Calibri" w:cs="Times New Roman"/>
                <w:sz w:val="20"/>
                <w:szCs w:val="20"/>
              </w:rPr>
            </w:pPr>
          </w:p>
        </w:tc>
        <w:tc>
          <w:tcPr>
            <w:tcW w:w="2168" w:type="dxa"/>
            <w:tcBorders>
              <w:top w:val="single" w:color="auto" w:sz="4" w:space="0"/>
              <w:left w:val="single" w:color="auto" w:sz="4" w:space="0"/>
              <w:bottom w:val="single" w:color="auto" w:sz="4" w:space="0"/>
              <w:right w:val="single" w:color="auto" w:sz="4" w:space="0"/>
            </w:tcBorders>
            <w:shd w:val="clear" w:color="auto" w:fill="auto"/>
          </w:tcPr>
          <w:p w14:paraId="629C9BD3">
            <w:pPr>
              <w:spacing w:after="0" w:line="240" w:lineRule="auto"/>
              <w:ind w:left="-113" w:right="-88"/>
              <w:jc w:val="center"/>
              <w:rPr>
                <w:rFonts w:ascii="Times New Roman" w:hAnsi="Times New Roman" w:eastAsia="Calibri" w:cs="Times New Roman"/>
                <w:sz w:val="20"/>
                <w:szCs w:val="20"/>
              </w:rPr>
            </w:pPr>
          </w:p>
        </w:tc>
        <w:tc>
          <w:tcPr>
            <w:tcW w:w="1951" w:type="dxa"/>
            <w:tcBorders>
              <w:top w:val="single" w:color="auto" w:sz="4" w:space="0"/>
              <w:left w:val="single" w:color="auto" w:sz="4" w:space="0"/>
              <w:bottom w:val="single" w:color="auto" w:sz="4" w:space="0"/>
              <w:right w:val="single" w:color="auto" w:sz="4" w:space="0"/>
            </w:tcBorders>
          </w:tcPr>
          <w:p w14:paraId="2D12DD99">
            <w:pPr>
              <w:spacing w:after="0" w:line="240" w:lineRule="auto"/>
              <w:ind w:left="-113" w:right="-88"/>
              <w:jc w:val="center"/>
              <w:rPr>
                <w:rFonts w:ascii="Times New Roman" w:hAnsi="Times New Roman" w:eastAsia="Calibri" w:cs="Times New Roman"/>
                <w:sz w:val="20"/>
                <w:szCs w:val="20"/>
              </w:rPr>
            </w:pPr>
          </w:p>
        </w:tc>
      </w:tr>
      <w:tr w14:paraId="58C4087B">
        <w:tblPrEx>
          <w:tblCellMar>
            <w:top w:w="0" w:type="dxa"/>
            <w:left w:w="108" w:type="dxa"/>
            <w:bottom w:w="0" w:type="dxa"/>
            <w:right w:w="108" w:type="dxa"/>
          </w:tblCellMar>
        </w:tblPrEx>
        <w:trPr>
          <w:trHeight w:val="303" w:hRule="atLeast"/>
        </w:trPr>
        <w:tc>
          <w:tcPr>
            <w:tcW w:w="2235" w:type="dxa"/>
            <w:tcBorders>
              <w:top w:val="single" w:color="auto" w:sz="4" w:space="0"/>
              <w:left w:val="single" w:color="auto" w:sz="4" w:space="0"/>
              <w:bottom w:val="single" w:color="auto" w:sz="4" w:space="0"/>
              <w:right w:val="single" w:color="auto" w:sz="4" w:space="0"/>
            </w:tcBorders>
          </w:tcPr>
          <w:p w14:paraId="77013A8C">
            <w:pPr>
              <w:spacing w:after="0" w:line="240" w:lineRule="auto"/>
              <w:ind w:right="-88"/>
              <w:rPr>
                <w:rFonts w:ascii="Times New Roman" w:hAnsi="Times New Roman" w:eastAsia="Calibri" w:cs="Times New Roman"/>
                <w:sz w:val="20"/>
                <w:szCs w:val="20"/>
              </w:rPr>
            </w:pPr>
            <w:r>
              <w:rPr>
                <w:rFonts w:ascii="Times New Roman" w:hAnsi="Times New Roman" w:eastAsia="Calibri" w:cs="Times New Roman"/>
                <w:sz w:val="20"/>
                <w:szCs w:val="20"/>
              </w:rPr>
              <w:t>Норматив количества</w:t>
            </w:r>
          </w:p>
        </w:tc>
        <w:tc>
          <w:tcPr>
            <w:tcW w:w="1517" w:type="dxa"/>
            <w:tcBorders>
              <w:top w:val="single" w:color="auto" w:sz="4" w:space="0"/>
              <w:left w:val="single" w:color="auto" w:sz="4" w:space="0"/>
              <w:bottom w:val="single" w:color="auto" w:sz="4" w:space="0"/>
              <w:right w:val="single" w:color="auto" w:sz="4" w:space="0"/>
            </w:tcBorders>
            <w:shd w:val="clear" w:color="auto" w:fill="auto"/>
          </w:tcPr>
          <w:p w14:paraId="052FFCE2">
            <w:pPr>
              <w:spacing w:after="0" w:line="240" w:lineRule="auto"/>
              <w:ind w:left="-113" w:right="-88"/>
              <w:jc w:val="center"/>
              <w:rPr>
                <w:rFonts w:ascii="Times New Roman" w:hAnsi="Times New Roman" w:eastAsia="Calibri" w:cs="Times New Roman"/>
                <w:sz w:val="20"/>
                <w:szCs w:val="20"/>
              </w:rPr>
            </w:pPr>
            <w:r>
              <w:rPr>
                <w:rFonts w:ascii="Times New Roman" w:hAnsi="Times New Roman" w:eastAsia="Calibri" w:cs="Times New Roman"/>
                <w:sz w:val="20"/>
                <w:szCs w:val="20"/>
              </w:rPr>
              <w:t>не более 1единицы на одного работника</w:t>
            </w:r>
          </w:p>
        </w:tc>
        <w:tc>
          <w:tcPr>
            <w:tcW w:w="1734" w:type="dxa"/>
            <w:tcBorders>
              <w:top w:val="single" w:color="auto" w:sz="4" w:space="0"/>
              <w:left w:val="single" w:color="auto" w:sz="4" w:space="0"/>
              <w:bottom w:val="single" w:color="auto" w:sz="4" w:space="0"/>
              <w:right w:val="single" w:color="auto" w:sz="4" w:space="0"/>
            </w:tcBorders>
            <w:shd w:val="clear" w:color="auto" w:fill="auto"/>
          </w:tcPr>
          <w:p w14:paraId="1D050C7F">
            <w:pPr>
              <w:spacing w:after="0" w:line="240" w:lineRule="auto"/>
              <w:ind w:left="-113" w:right="-88"/>
              <w:jc w:val="center"/>
              <w:rPr>
                <w:rFonts w:ascii="Times New Roman" w:hAnsi="Times New Roman" w:eastAsia="Calibri" w:cs="Times New Roman"/>
                <w:sz w:val="20"/>
                <w:szCs w:val="20"/>
              </w:rPr>
            </w:pPr>
            <w:r>
              <w:rPr>
                <w:rFonts w:ascii="Times New Roman" w:hAnsi="Times New Roman" w:eastAsia="Calibri" w:cs="Times New Roman"/>
                <w:sz w:val="20"/>
                <w:szCs w:val="20"/>
              </w:rPr>
              <w:t>не более 1 единицы на одного работника</w:t>
            </w:r>
          </w:p>
        </w:tc>
        <w:tc>
          <w:tcPr>
            <w:tcW w:w="1951" w:type="dxa"/>
            <w:tcBorders>
              <w:top w:val="single" w:color="auto" w:sz="4" w:space="0"/>
              <w:left w:val="single" w:color="auto" w:sz="4" w:space="0"/>
              <w:bottom w:val="single" w:color="auto" w:sz="4" w:space="0"/>
              <w:right w:val="single" w:color="auto" w:sz="4" w:space="0"/>
            </w:tcBorders>
          </w:tcPr>
          <w:p w14:paraId="65BD25EC">
            <w:pPr>
              <w:spacing w:after="0" w:line="240" w:lineRule="auto"/>
              <w:ind w:left="-113" w:right="-88"/>
              <w:jc w:val="center"/>
              <w:rPr>
                <w:rFonts w:ascii="Times New Roman" w:hAnsi="Times New Roman" w:eastAsia="Calibri" w:cs="Times New Roman"/>
                <w:sz w:val="20"/>
                <w:szCs w:val="20"/>
              </w:rPr>
            </w:pPr>
            <w:r>
              <w:rPr>
                <w:rFonts w:ascii="Times New Roman" w:hAnsi="Times New Roman" w:eastAsia="Calibri" w:cs="Times New Roman"/>
                <w:sz w:val="20"/>
                <w:szCs w:val="20"/>
              </w:rPr>
              <w:t>не более 1 единицы на одного работника</w:t>
            </w:r>
          </w:p>
        </w:tc>
        <w:tc>
          <w:tcPr>
            <w:tcW w:w="1736" w:type="dxa"/>
            <w:tcBorders>
              <w:top w:val="single" w:color="auto" w:sz="4" w:space="0"/>
              <w:left w:val="single" w:color="auto" w:sz="4" w:space="0"/>
              <w:bottom w:val="single" w:color="auto" w:sz="4" w:space="0"/>
              <w:right w:val="single" w:color="auto" w:sz="4" w:space="0"/>
            </w:tcBorders>
          </w:tcPr>
          <w:p w14:paraId="2464BB02">
            <w:pPr>
              <w:spacing w:after="0" w:line="240" w:lineRule="auto"/>
              <w:ind w:left="-113" w:right="-88"/>
              <w:jc w:val="center"/>
              <w:rPr>
                <w:rFonts w:ascii="Times New Roman" w:hAnsi="Times New Roman" w:eastAsia="Calibri" w:cs="Times New Roman"/>
                <w:sz w:val="20"/>
                <w:szCs w:val="20"/>
              </w:rPr>
            </w:pPr>
            <w:r>
              <w:rPr>
                <w:rFonts w:ascii="Times New Roman" w:hAnsi="Times New Roman" w:eastAsia="Calibri" w:cs="Times New Roman"/>
                <w:sz w:val="20"/>
                <w:szCs w:val="20"/>
              </w:rPr>
              <w:t>не более 1 единицы на одного работника</w:t>
            </w:r>
          </w:p>
        </w:tc>
        <w:tc>
          <w:tcPr>
            <w:tcW w:w="1734" w:type="dxa"/>
            <w:tcBorders>
              <w:top w:val="single" w:color="auto" w:sz="4" w:space="0"/>
              <w:left w:val="single" w:color="auto" w:sz="4" w:space="0"/>
              <w:bottom w:val="single" w:color="auto" w:sz="4" w:space="0"/>
              <w:right w:val="single" w:color="auto" w:sz="4" w:space="0"/>
            </w:tcBorders>
            <w:shd w:val="clear" w:color="auto" w:fill="auto"/>
          </w:tcPr>
          <w:p w14:paraId="47670143">
            <w:pPr>
              <w:spacing w:after="0" w:line="240" w:lineRule="auto"/>
              <w:ind w:left="-113" w:right="-88"/>
              <w:jc w:val="center"/>
              <w:rPr>
                <w:rFonts w:ascii="Times New Roman" w:hAnsi="Times New Roman" w:eastAsia="Calibri" w:cs="Times New Roman"/>
                <w:sz w:val="20"/>
                <w:szCs w:val="20"/>
              </w:rPr>
            </w:pPr>
            <w:r>
              <w:rPr>
                <w:rFonts w:ascii="Times New Roman" w:hAnsi="Times New Roman" w:eastAsia="Calibri" w:cs="Times New Roman"/>
                <w:sz w:val="20"/>
                <w:szCs w:val="20"/>
              </w:rPr>
              <w:t>не более 1 единицы на одного работника</w:t>
            </w:r>
          </w:p>
        </w:tc>
        <w:tc>
          <w:tcPr>
            <w:tcW w:w="2168" w:type="dxa"/>
            <w:tcBorders>
              <w:top w:val="single" w:color="auto" w:sz="4" w:space="0"/>
              <w:left w:val="single" w:color="auto" w:sz="4" w:space="0"/>
              <w:bottom w:val="single" w:color="auto" w:sz="4" w:space="0"/>
              <w:right w:val="single" w:color="auto" w:sz="4" w:space="0"/>
            </w:tcBorders>
            <w:shd w:val="clear" w:color="auto" w:fill="auto"/>
          </w:tcPr>
          <w:p w14:paraId="55A83065">
            <w:pPr>
              <w:spacing w:after="0" w:line="240" w:lineRule="auto"/>
              <w:ind w:left="-113" w:right="-88"/>
              <w:jc w:val="center"/>
              <w:rPr>
                <w:rFonts w:ascii="Times New Roman" w:hAnsi="Times New Roman" w:eastAsia="Calibri" w:cs="Times New Roman"/>
                <w:sz w:val="20"/>
                <w:szCs w:val="20"/>
              </w:rPr>
            </w:pPr>
            <w:r>
              <w:rPr>
                <w:rFonts w:ascii="Times New Roman" w:hAnsi="Times New Roman" w:eastAsia="Calibri" w:cs="Times New Roman"/>
                <w:sz w:val="20"/>
                <w:szCs w:val="20"/>
              </w:rPr>
              <w:t>не более 1 единицы на одного работника</w:t>
            </w:r>
          </w:p>
        </w:tc>
        <w:tc>
          <w:tcPr>
            <w:tcW w:w="1951" w:type="dxa"/>
            <w:tcBorders>
              <w:top w:val="single" w:color="auto" w:sz="4" w:space="0"/>
              <w:left w:val="single" w:color="auto" w:sz="4" w:space="0"/>
              <w:bottom w:val="single" w:color="auto" w:sz="4" w:space="0"/>
              <w:right w:val="single" w:color="auto" w:sz="4" w:space="0"/>
            </w:tcBorders>
          </w:tcPr>
          <w:p w14:paraId="3055705A">
            <w:pPr>
              <w:spacing w:after="0" w:line="240" w:lineRule="auto"/>
              <w:ind w:left="-113" w:right="-88"/>
              <w:jc w:val="center"/>
              <w:rPr>
                <w:rFonts w:ascii="Times New Roman" w:hAnsi="Times New Roman" w:eastAsia="Calibri" w:cs="Times New Roman"/>
                <w:sz w:val="20"/>
                <w:szCs w:val="20"/>
              </w:rPr>
            </w:pPr>
            <w:r>
              <w:rPr>
                <w:rFonts w:ascii="Times New Roman" w:hAnsi="Times New Roman" w:eastAsia="Calibri" w:cs="Times New Roman"/>
                <w:sz w:val="20"/>
                <w:szCs w:val="20"/>
              </w:rPr>
              <w:t>не более 1 единицы на одного работника</w:t>
            </w:r>
          </w:p>
        </w:tc>
      </w:tr>
      <w:tr w14:paraId="325491D7">
        <w:tblPrEx>
          <w:tblCellMar>
            <w:top w:w="0" w:type="dxa"/>
            <w:left w:w="108" w:type="dxa"/>
            <w:bottom w:w="0" w:type="dxa"/>
            <w:right w:w="108" w:type="dxa"/>
          </w:tblCellMar>
        </w:tblPrEx>
        <w:trPr>
          <w:trHeight w:val="303" w:hRule="atLeast"/>
        </w:trPr>
        <w:tc>
          <w:tcPr>
            <w:tcW w:w="2235" w:type="dxa"/>
            <w:tcBorders>
              <w:top w:val="single" w:color="auto" w:sz="4" w:space="0"/>
              <w:left w:val="single" w:color="auto" w:sz="4" w:space="0"/>
              <w:bottom w:val="single" w:color="auto" w:sz="4" w:space="0"/>
              <w:right w:val="single" w:color="auto" w:sz="4" w:space="0"/>
            </w:tcBorders>
          </w:tcPr>
          <w:p w14:paraId="73864413">
            <w:pPr>
              <w:spacing w:after="0" w:line="240" w:lineRule="auto"/>
              <w:ind w:right="-88"/>
              <w:rPr>
                <w:rFonts w:ascii="Times New Roman" w:hAnsi="Times New Roman" w:eastAsia="Calibri" w:cs="Times New Roman"/>
                <w:sz w:val="20"/>
                <w:szCs w:val="20"/>
              </w:rPr>
            </w:pPr>
            <w:r>
              <w:rPr>
                <w:rFonts w:ascii="Times New Roman" w:hAnsi="Times New Roman" w:eastAsia="Calibri" w:cs="Times New Roman"/>
                <w:sz w:val="20"/>
                <w:szCs w:val="20"/>
              </w:rPr>
              <w:t>Норматив цены за единицу (рублей)</w:t>
            </w:r>
          </w:p>
        </w:tc>
        <w:tc>
          <w:tcPr>
            <w:tcW w:w="1517" w:type="dxa"/>
            <w:tcBorders>
              <w:top w:val="single" w:color="auto" w:sz="4" w:space="0"/>
              <w:left w:val="single" w:color="auto" w:sz="4" w:space="0"/>
              <w:bottom w:val="single" w:color="auto" w:sz="4" w:space="0"/>
              <w:right w:val="single" w:color="auto" w:sz="4" w:space="0"/>
            </w:tcBorders>
            <w:shd w:val="clear" w:color="auto" w:fill="auto"/>
          </w:tcPr>
          <w:p w14:paraId="00EE949A">
            <w:pPr>
              <w:spacing w:after="0" w:line="240" w:lineRule="auto"/>
              <w:ind w:left="-113" w:right="-88"/>
              <w:jc w:val="center"/>
              <w:rPr>
                <w:rFonts w:ascii="Times New Roman" w:hAnsi="Times New Roman" w:eastAsia="Calibri" w:cs="Times New Roman"/>
                <w:sz w:val="20"/>
                <w:szCs w:val="20"/>
              </w:rPr>
            </w:pPr>
            <w:r>
              <w:rPr>
                <w:rFonts w:ascii="Times New Roman" w:hAnsi="Times New Roman" w:eastAsia="Calibri" w:cs="Times New Roman"/>
                <w:sz w:val="20"/>
                <w:szCs w:val="20"/>
              </w:rPr>
              <w:t>не более 5000,00</w:t>
            </w:r>
          </w:p>
        </w:tc>
        <w:tc>
          <w:tcPr>
            <w:tcW w:w="1734" w:type="dxa"/>
            <w:tcBorders>
              <w:top w:val="single" w:color="auto" w:sz="4" w:space="0"/>
              <w:left w:val="single" w:color="auto" w:sz="4" w:space="0"/>
              <w:bottom w:val="single" w:color="auto" w:sz="4" w:space="0"/>
              <w:right w:val="single" w:color="auto" w:sz="4" w:space="0"/>
            </w:tcBorders>
            <w:shd w:val="clear" w:color="auto" w:fill="auto"/>
          </w:tcPr>
          <w:p w14:paraId="5BC7899F">
            <w:pPr>
              <w:spacing w:after="0" w:line="240" w:lineRule="auto"/>
              <w:ind w:left="-113" w:right="-88"/>
              <w:jc w:val="center"/>
              <w:rPr>
                <w:rFonts w:ascii="Times New Roman" w:hAnsi="Times New Roman" w:eastAsia="Calibri" w:cs="Times New Roman"/>
                <w:sz w:val="20"/>
                <w:szCs w:val="20"/>
              </w:rPr>
            </w:pPr>
            <w:r>
              <w:rPr>
                <w:rFonts w:ascii="Times New Roman" w:hAnsi="Times New Roman" w:eastAsia="Calibri" w:cs="Times New Roman"/>
                <w:sz w:val="20"/>
                <w:szCs w:val="20"/>
              </w:rPr>
              <w:t>не более 5000,00</w:t>
            </w:r>
          </w:p>
        </w:tc>
        <w:tc>
          <w:tcPr>
            <w:tcW w:w="1951" w:type="dxa"/>
            <w:tcBorders>
              <w:top w:val="single" w:color="auto" w:sz="4" w:space="0"/>
              <w:left w:val="single" w:color="auto" w:sz="4" w:space="0"/>
              <w:bottom w:val="single" w:color="auto" w:sz="4" w:space="0"/>
              <w:right w:val="single" w:color="auto" w:sz="4" w:space="0"/>
            </w:tcBorders>
          </w:tcPr>
          <w:p w14:paraId="10F78304">
            <w:pPr>
              <w:spacing w:after="0" w:line="240" w:lineRule="auto"/>
              <w:ind w:left="-113" w:right="-88"/>
              <w:jc w:val="center"/>
              <w:rPr>
                <w:rFonts w:ascii="Times New Roman" w:hAnsi="Times New Roman" w:eastAsia="Calibri" w:cs="Times New Roman"/>
                <w:sz w:val="20"/>
                <w:szCs w:val="20"/>
              </w:rPr>
            </w:pPr>
            <w:r>
              <w:rPr>
                <w:rFonts w:ascii="Times New Roman" w:hAnsi="Times New Roman" w:eastAsia="Calibri" w:cs="Times New Roman"/>
                <w:sz w:val="20"/>
                <w:szCs w:val="20"/>
              </w:rPr>
              <w:t>не более 5000,00</w:t>
            </w:r>
          </w:p>
        </w:tc>
        <w:tc>
          <w:tcPr>
            <w:tcW w:w="1736" w:type="dxa"/>
            <w:tcBorders>
              <w:top w:val="single" w:color="auto" w:sz="4" w:space="0"/>
              <w:left w:val="single" w:color="auto" w:sz="4" w:space="0"/>
              <w:bottom w:val="single" w:color="auto" w:sz="4" w:space="0"/>
              <w:right w:val="single" w:color="auto" w:sz="4" w:space="0"/>
            </w:tcBorders>
          </w:tcPr>
          <w:p w14:paraId="0269DEC3">
            <w:pPr>
              <w:spacing w:after="0" w:line="240" w:lineRule="auto"/>
              <w:ind w:left="-113" w:right="-88"/>
              <w:jc w:val="center"/>
              <w:rPr>
                <w:rFonts w:ascii="Times New Roman" w:hAnsi="Times New Roman" w:eastAsia="Calibri" w:cs="Times New Roman"/>
                <w:sz w:val="20"/>
                <w:szCs w:val="20"/>
              </w:rPr>
            </w:pPr>
            <w:r>
              <w:rPr>
                <w:rFonts w:ascii="Times New Roman" w:hAnsi="Times New Roman" w:eastAsia="Calibri" w:cs="Times New Roman"/>
                <w:sz w:val="20"/>
                <w:szCs w:val="20"/>
              </w:rPr>
              <w:t>не более 5000,00</w:t>
            </w:r>
          </w:p>
        </w:tc>
        <w:tc>
          <w:tcPr>
            <w:tcW w:w="1734" w:type="dxa"/>
            <w:tcBorders>
              <w:top w:val="single" w:color="auto" w:sz="4" w:space="0"/>
              <w:left w:val="single" w:color="auto" w:sz="4" w:space="0"/>
              <w:bottom w:val="single" w:color="auto" w:sz="4" w:space="0"/>
              <w:right w:val="single" w:color="auto" w:sz="4" w:space="0"/>
            </w:tcBorders>
            <w:shd w:val="clear" w:color="auto" w:fill="auto"/>
          </w:tcPr>
          <w:p w14:paraId="32939C0F">
            <w:pPr>
              <w:spacing w:after="0" w:line="240" w:lineRule="auto"/>
              <w:ind w:left="-113" w:right="-88"/>
              <w:jc w:val="center"/>
              <w:rPr>
                <w:rFonts w:ascii="Times New Roman" w:hAnsi="Times New Roman" w:eastAsia="Calibri" w:cs="Times New Roman"/>
                <w:sz w:val="20"/>
                <w:szCs w:val="20"/>
              </w:rPr>
            </w:pPr>
            <w:r>
              <w:rPr>
                <w:rFonts w:ascii="Times New Roman" w:hAnsi="Times New Roman" w:eastAsia="Calibri" w:cs="Times New Roman"/>
                <w:sz w:val="20"/>
                <w:szCs w:val="20"/>
              </w:rPr>
              <w:t>не более 5000,00</w:t>
            </w:r>
          </w:p>
        </w:tc>
        <w:tc>
          <w:tcPr>
            <w:tcW w:w="2168" w:type="dxa"/>
            <w:tcBorders>
              <w:top w:val="single" w:color="auto" w:sz="4" w:space="0"/>
              <w:left w:val="single" w:color="auto" w:sz="4" w:space="0"/>
              <w:bottom w:val="single" w:color="auto" w:sz="4" w:space="0"/>
              <w:right w:val="single" w:color="auto" w:sz="4" w:space="0"/>
            </w:tcBorders>
            <w:shd w:val="clear" w:color="auto" w:fill="auto"/>
          </w:tcPr>
          <w:p w14:paraId="63D6AE49">
            <w:pPr>
              <w:spacing w:after="0" w:line="240" w:lineRule="auto"/>
              <w:ind w:left="-113" w:right="-88"/>
              <w:jc w:val="center"/>
              <w:rPr>
                <w:rFonts w:ascii="Times New Roman" w:hAnsi="Times New Roman" w:eastAsia="Calibri" w:cs="Times New Roman"/>
                <w:sz w:val="20"/>
                <w:szCs w:val="20"/>
              </w:rPr>
            </w:pPr>
            <w:r>
              <w:rPr>
                <w:rFonts w:ascii="Times New Roman" w:hAnsi="Times New Roman" w:eastAsia="Calibri" w:cs="Times New Roman"/>
                <w:sz w:val="20"/>
                <w:szCs w:val="20"/>
              </w:rPr>
              <w:t>не более 5000,00</w:t>
            </w:r>
          </w:p>
        </w:tc>
        <w:tc>
          <w:tcPr>
            <w:tcW w:w="1951" w:type="dxa"/>
            <w:tcBorders>
              <w:top w:val="single" w:color="auto" w:sz="4" w:space="0"/>
              <w:left w:val="single" w:color="auto" w:sz="4" w:space="0"/>
              <w:bottom w:val="single" w:color="auto" w:sz="4" w:space="0"/>
              <w:right w:val="single" w:color="auto" w:sz="4" w:space="0"/>
            </w:tcBorders>
          </w:tcPr>
          <w:p w14:paraId="3DE91843">
            <w:pPr>
              <w:spacing w:after="0" w:line="240" w:lineRule="auto"/>
              <w:ind w:left="-113" w:right="-88"/>
              <w:jc w:val="center"/>
              <w:rPr>
                <w:rFonts w:ascii="Times New Roman" w:hAnsi="Times New Roman" w:eastAsia="Calibri" w:cs="Times New Roman"/>
                <w:sz w:val="20"/>
                <w:szCs w:val="20"/>
              </w:rPr>
            </w:pPr>
            <w:r>
              <w:rPr>
                <w:rFonts w:ascii="Times New Roman" w:hAnsi="Times New Roman" w:eastAsia="Calibri" w:cs="Times New Roman"/>
                <w:sz w:val="20"/>
                <w:szCs w:val="20"/>
              </w:rPr>
              <w:t>не более 5000,00</w:t>
            </w:r>
          </w:p>
        </w:tc>
      </w:tr>
      <w:tr w14:paraId="3B3C6DAF">
        <w:tblPrEx>
          <w:tblCellMar>
            <w:top w:w="0" w:type="dxa"/>
            <w:left w:w="108" w:type="dxa"/>
            <w:bottom w:w="0" w:type="dxa"/>
            <w:right w:w="108" w:type="dxa"/>
          </w:tblCellMar>
        </w:tblPrEx>
        <w:trPr>
          <w:trHeight w:val="303" w:hRule="atLeast"/>
        </w:trPr>
        <w:tc>
          <w:tcPr>
            <w:tcW w:w="2235" w:type="dxa"/>
            <w:tcBorders>
              <w:top w:val="single" w:color="auto" w:sz="4" w:space="0"/>
              <w:left w:val="single" w:color="auto" w:sz="4" w:space="0"/>
              <w:bottom w:val="single" w:color="auto" w:sz="4" w:space="0"/>
              <w:right w:val="single" w:color="auto" w:sz="4" w:space="0"/>
            </w:tcBorders>
          </w:tcPr>
          <w:p w14:paraId="716BB43A">
            <w:pPr>
              <w:spacing w:after="0" w:line="240" w:lineRule="auto"/>
              <w:ind w:right="-88"/>
              <w:rPr>
                <w:rFonts w:ascii="Times New Roman" w:hAnsi="Times New Roman" w:eastAsia="Calibri" w:cs="Times New Roman"/>
                <w:sz w:val="20"/>
                <w:szCs w:val="20"/>
              </w:rPr>
            </w:pPr>
            <w:r>
              <w:rPr>
                <w:rFonts w:ascii="Times New Roman" w:hAnsi="Times New Roman" w:eastAsia="Calibri" w:cs="Times New Roman"/>
                <w:sz w:val="20"/>
                <w:szCs w:val="20"/>
              </w:rPr>
              <w:t>Радиотелефон</w:t>
            </w:r>
          </w:p>
        </w:tc>
        <w:tc>
          <w:tcPr>
            <w:tcW w:w="1517" w:type="dxa"/>
            <w:tcBorders>
              <w:top w:val="single" w:color="auto" w:sz="4" w:space="0"/>
              <w:left w:val="single" w:color="auto" w:sz="4" w:space="0"/>
              <w:bottom w:val="single" w:color="auto" w:sz="4" w:space="0"/>
              <w:right w:val="single" w:color="auto" w:sz="4" w:space="0"/>
            </w:tcBorders>
            <w:shd w:val="clear" w:color="auto" w:fill="auto"/>
          </w:tcPr>
          <w:p w14:paraId="4BEE0E14">
            <w:pPr>
              <w:spacing w:after="0" w:line="240" w:lineRule="auto"/>
              <w:ind w:left="-113" w:right="-88"/>
              <w:jc w:val="center"/>
              <w:rPr>
                <w:rFonts w:ascii="Times New Roman" w:hAnsi="Times New Roman" w:eastAsia="Calibri" w:cs="Times New Roman"/>
                <w:sz w:val="20"/>
                <w:szCs w:val="20"/>
              </w:rPr>
            </w:pPr>
          </w:p>
        </w:tc>
        <w:tc>
          <w:tcPr>
            <w:tcW w:w="1734" w:type="dxa"/>
            <w:tcBorders>
              <w:top w:val="single" w:color="auto" w:sz="4" w:space="0"/>
              <w:left w:val="single" w:color="auto" w:sz="4" w:space="0"/>
              <w:bottom w:val="single" w:color="auto" w:sz="4" w:space="0"/>
              <w:right w:val="single" w:color="auto" w:sz="4" w:space="0"/>
            </w:tcBorders>
            <w:shd w:val="clear" w:color="auto" w:fill="auto"/>
          </w:tcPr>
          <w:p w14:paraId="069EFC98">
            <w:pPr>
              <w:spacing w:after="0" w:line="240" w:lineRule="auto"/>
              <w:ind w:left="-113" w:right="-88"/>
              <w:jc w:val="center"/>
              <w:rPr>
                <w:rFonts w:ascii="Times New Roman" w:hAnsi="Times New Roman" w:eastAsia="Calibri" w:cs="Times New Roman"/>
                <w:sz w:val="20"/>
                <w:szCs w:val="20"/>
              </w:rPr>
            </w:pPr>
          </w:p>
        </w:tc>
        <w:tc>
          <w:tcPr>
            <w:tcW w:w="1951" w:type="dxa"/>
            <w:tcBorders>
              <w:top w:val="single" w:color="auto" w:sz="4" w:space="0"/>
              <w:left w:val="single" w:color="auto" w:sz="4" w:space="0"/>
              <w:bottom w:val="single" w:color="auto" w:sz="4" w:space="0"/>
              <w:right w:val="single" w:color="auto" w:sz="4" w:space="0"/>
            </w:tcBorders>
          </w:tcPr>
          <w:p w14:paraId="1C4D1934">
            <w:pPr>
              <w:spacing w:after="0" w:line="240" w:lineRule="auto"/>
              <w:ind w:left="-113" w:right="-88"/>
              <w:jc w:val="center"/>
              <w:rPr>
                <w:rFonts w:ascii="Times New Roman" w:hAnsi="Times New Roman" w:eastAsia="Calibri" w:cs="Times New Roman"/>
                <w:sz w:val="20"/>
                <w:szCs w:val="20"/>
              </w:rPr>
            </w:pPr>
          </w:p>
        </w:tc>
        <w:tc>
          <w:tcPr>
            <w:tcW w:w="1736" w:type="dxa"/>
            <w:tcBorders>
              <w:top w:val="single" w:color="auto" w:sz="4" w:space="0"/>
              <w:left w:val="single" w:color="auto" w:sz="4" w:space="0"/>
              <w:bottom w:val="single" w:color="auto" w:sz="4" w:space="0"/>
              <w:right w:val="single" w:color="auto" w:sz="4" w:space="0"/>
            </w:tcBorders>
          </w:tcPr>
          <w:p w14:paraId="54CCAC64">
            <w:pPr>
              <w:spacing w:after="0" w:line="240" w:lineRule="auto"/>
              <w:ind w:left="-113" w:right="-88"/>
              <w:jc w:val="center"/>
              <w:rPr>
                <w:rFonts w:ascii="Times New Roman" w:hAnsi="Times New Roman" w:eastAsia="Calibri" w:cs="Times New Roman"/>
                <w:sz w:val="20"/>
                <w:szCs w:val="20"/>
              </w:rPr>
            </w:pPr>
          </w:p>
        </w:tc>
        <w:tc>
          <w:tcPr>
            <w:tcW w:w="1734" w:type="dxa"/>
            <w:tcBorders>
              <w:top w:val="single" w:color="auto" w:sz="4" w:space="0"/>
              <w:left w:val="single" w:color="auto" w:sz="4" w:space="0"/>
              <w:bottom w:val="single" w:color="auto" w:sz="4" w:space="0"/>
              <w:right w:val="single" w:color="auto" w:sz="4" w:space="0"/>
            </w:tcBorders>
            <w:shd w:val="clear" w:color="auto" w:fill="auto"/>
          </w:tcPr>
          <w:p w14:paraId="4AFE63A0">
            <w:pPr>
              <w:spacing w:after="0" w:line="240" w:lineRule="auto"/>
              <w:ind w:left="-113" w:right="-88"/>
              <w:jc w:val="center"/>
              <w:rPr>
                <w:rFonts w:ascii="Times New Roman" w:hAnsi="Times New Roman" w:eastAsia="Calibri" w:cs="Times New Roman"/>
                <w:sz w:val="20"/>
                <w:szCs w:val="20"/>
              </w:rPr>
            </w:pPr>
          </w:p>
        </w:tc>
        <w:tc>
          <w:tcPr>
            <w:tcW w:w="2168" w:type="dxa"/>
            <w:tcBorders>
              <w:top w:val="single" w:color="auto" w:sz="4" w:space="0"/>
              <w:left w:val="single" w:color="auto" w:sz="4" w:space="0"/>
              <w:bottom w:val="single" w:color="auto" w:sz="4" w:space="0"/>
              <w:right w:val="single" w:color="auto" w:sz="4" w:space="0"/>
            </w:tcBorders>
            <w:shd w:val="clear" w:color="auto" w:fill="auto"/>
          </w:tcPr>
          <w:p w14:paraId="1C40CF2A">
            <w:pPr>
              <w:spacing w:after="0" w:line="240" w:lineRule="auto"/>
              <w:ind w:left="-113" w:right="-88"/>
              <w:jc w:val="center"/>
              <w:rPr>
                <w:rFonts w:ascii="Times New Roman" w:hAnsi="Times New Roman" w:eastAsia="Calibri" w:cs="Times New Roman"/>
                <w:sz w:val="20"/>
                <w:szCs w:val="20"/>
              </w:rPr>
            </w:pPr>
          </w:p>
        </w:tc>
        <w:tc>
          <w:tcPr>
            <w:tcW w:w="1951" w:type="dxa"/>
            <w:tcBorders>
              <w:top w:val="single" w:color="auto" w:sz="4" w:space="0"/>
              <w:left w:val="single" w:color="auto" w:sz="4" w:space="0"/>
              <w:bottom w:val="single" w:color="auto" w:sz="4" w:space="0"/>
              <w:right w:val="single" w:color="auto" w:sz="4" w:space="0"/>
            </w:tcBorders>
          </w:tcPr>
          <w:p w14:paraId="7D583028">
            <w:pPr>
              <w:spacing w:after="0" w:line="240" w:lineRule="auto"/>
              <w:ind w:left="-113" w:right="-88"/>
              <w:jc w:val="center"/>
              <w:rPr>
                <w:rFonts w:ascii="Times New Roman" w:hAnsi="Times New Roman" w:eastAsia="Calibri" w:cs="Times New Roman"/>
                <w:sz w:val="20"/>
                <w:szCs w:val="20"/>
              </w:rPr>
            </w:pPr>
          </w:p>
        </w:tc>
      </w:tr>
      <w:tr w14:paraId="49CE9D7C">
        <w:tblPrEx>
          <w:tblCellMar>
            <w:top w:w="0" w:type="dxa"/>
            <w:left w:w="108" w:type="dxa"/>
            <w:bottom w:w="0" w:type="dxa"/>
            <w:right w:w="108" w:type="dxa"/>
          </w:tblCellMar>
        </w:tblPrEx>
        <w:trPr>
          <w:trHeight w:val="303" w:hRule="atLeast"/>
        </w:trPr>
        <w:tc>
          <w:tcPr>
            <w:tcW w:w="2235" w:type="dxa"/>
            <w:tcBorders>
              <w:top w:val="single" w:color="auto" w:sz="4" w:space="0"/>
              <w:left w:val="single" w:color="auto" w:sz="4" w:space="0"/>
              <w:bottom w:val="single" w:color="auto" w:sz="4" w:space="0"/>
              <w:right w:val="single" w:color="auto" w:sz="4" w:space="0"/>
            </w:tcBorders>
          </w:tcPr>
          <w:p w14:paraId="1848B5DB">
            <w:pPr>
              <w:spacing w:after="0" w:line="240" w:lineRule="auto"/>
              <w:ind w:right="-88"/>
              <w:rPr>
                <w:rFonts w:ascii="Times New Roman" w:hAnsi="Times New Roman" w:eastAsia="Calibri" w:cs="Times New Roman"/>
                <w:sz w:val="20"/>
                <w:szCs w:val="20"/>
              </w:rPr>
            </w:pPr>
            <w:r>
              <w:rPr>
                <w:rFonts w:ascii="Times New Roman" w:hAnsi="Times New Roman" w:eastAsia="Calibri" w:cs="Times New Roman"/>
                <w:sz w:val="20"/>
                <w:szCs w:val="20"/>
              </w:rPr>
              <w:t>Норматив количества</w:t>
            </w:r>
          </w:p>
        </w:tc>
        <w:tc>
          <w:tcPr>
            <w:tcW w:w="1517" w:type="dxa"/>
            <w:tcBorders>
              <w:top w:val="single" w:color="auto" w:sz="4" w:space="0"/>
              <w:left w:val="single" w:color="auto" w:sz="4" w:space="0"/>
              <w:bottom w:val="single" w:color="auto" w:sz="4" w:space="0"/>
              <w:right w:val="single" w:color="auto" w:sz="4" w:space="0"/>
            </w:tcBorders>
            <w:shd w:val="clear" w:color="auto" w:fill="auto"/>
          </w:tcPr>
          <w:p w14:paraId="38755FE3">
            <w:pPr>
              <w:spacing w:after="0" w:line="240" w:lineRule="auto"/>
              <w:ind w:left="-113" w:right="-88"/>
              <w:jc w:val="center"/>
              <w:rPr>
                <w:rFonts w:ascii="Times New Roman" w:hAnsi="Times New Roman" w:eastAsia="Calibri" w:cs="Times New Roman"/>
                <w:sz w:val="20"/>
                <w:szCs w:val="20"/>
              </w:rPr>
            </w:pPr>
            <w:r>
              <w:rPr>
                <w:rFonts w:ascii="Times New Roman" w:hAnsi="Times New Roman" w:eastAsia="Calibri" w:cs="Times New Roman"/>
                <w:sz w:val="20"/>
                <w:szCs w:val="20"/>
              </w:rPr>
              <w:t>не более 1единицы на одного работника</w:t>
            </w:r>
          </w:p>
        </w:tc>
        <w:tc>
          <w:tcPr>
            <w:tcW w:w="1734" w:type="dxa"/>
            <w:tcBorders>
              <w:top w:val="single" w:color="auto" w:sz="4" w:space="0"/>
              <w:left w:val="single" w:color="auto" w:sz="4" w:space="0"/>
              <w:bottom w:val="single" w:color="auto" w:sz="4" w:space="0"/>
              <w:right w:val="single" w:color="auto" w:sz="4" w:space="0"/>
            </w:tcBorders>
            <w:shd w:val="clear" w:color="auto" w:fill="auto"/>
          </w:tcPr>
          <w:p w14:paraId="09EC4C54">
            <w:pPr>
              <w:spacing w:after="0" w:line="240" w:lineRule="auto"/>
              <w:ind w:left="-113" w:right="-88"/>
              <w:jc w:val="center"/>
              <w:rPr>
                <w:rFonts w:ascii="Times New Roman" w:hAnsi="Times New Roman" w:eastAsia="Calibri" w:cs="Times New Roman"/>
                <w:sz w:val="20"/>
                <w:szCs w:val="20"/>
              </w:rPr>
            </w:pPr>
            <w:r>
              <w:rPr>
                <w:rFonts w:ascii="Times New Roman" w:hAnsi="Times New Roman" w:eastAsia="Calibri" w:cs="Times New Roman"/>
                <w:sz w:val="20"/>
                <w:szCs w:val="20"/>
              </w:rPr>
              <w:t>не более 1 единицы на одного работника</w:t>
            </w:r>
          </w:p>
        </w:tc>
        <w:tc>
          <w:tcPr>
            <w:tcW w:w="1951" w:type="dxa"/>
            <w:tcBorders>
              <w:top w:val="single" w:color="auto" w:sz="4" w:space="0"/>
              <w:left w:val="single" w:color="auto" w:sz="4" w:space="0"/>
              <w:bottom w:val="single" w:color="auto" w:sz="4" w:space="0"/>
              <w:right w:val="single" w:color="auto" w:sz="4" w:space="0"/>
            </w:tcBorders>
          </w:tcPr>
          <w:p w14:paraId="4938E338">
            <w:pPr>
              <w:spacing w:after="0" w:line="240" w:lineRule="auto"/>
              <w:ind w:left="-113" w:right="-88"/>
              <w:jc w:val="center"/>
              <w:rPr>
                <w:rFonts w:ascii="Times New Roman" w:hAnsi="Times New Roman" w:eastAsia="Calibri" w:cs="Times New Roman"/>
                <w:sz w:val="20"/>
                <w:szCs w:val="20"/>
              </w:rPr>
            </w:pPr>
            <w:r>
              <w:rPr>
                <w:rFonts w:ascii="Times New Roman" w:hAnsi="Times New Roman" w:eastAsia="Calibri" w:cs="Times New Roman"/>
                <w:sz w:val="20"/>
                <w:szCs w:val="20"/>
              </w:rPr>
              <w:t>не более 1 единицы на одного работника</w:t>
            </w:r>
          </w:p>
        </w:tc>
        <w:tc>
          <w:tcPr>
            <w:tcW w:w="1736" w:type="dxa"/>
            <w:tcBorders>
              <w:top w:val="single" w:color="auto" w:sz="4" w:space="0"/>
              <w:left w:val="single" w:color="auto" w:sz="4" w:space="0"/>
              <w:bottom w:val="single" w:color="auto" w:sz="4" w:space="0"/>
              <w:right w:val="single" w:color="auto" w:sz="4" w:space="0"/>
            </w:tcBorders>
          </w:tcPr>
          <w:p w14:paraId="2671B7BB">
            <w:pPr>
              <w:spacing w:after="0" w:line="240" w:lineRule="auto"/>
              <w:ind w:left="-113" w:right="-88"/>
              <w:jc w:val="center"/>
              <w:rPr>
                <w:rFonts w:ascii="Times New Roman" w:hAnsi="Times New Roman" w:eastAsia="Calibri" w:cs="Times New Roman"/>
                <w:sz w:val="20"/>
                <w:szCs w:val="20"/>
              </w:rPr>
            </w:pPr>
            <w:r>
              <w:rPr>
                <w:rFonts w:ascii="Times New Roman" w:hAnsi="Times New Roman" w:eastAsia="Calibri" w:cs="Times New Roman"/>
                <w:sz w:val="20"/>
                <w:szCs w:val="20"/>
              </w:rPr>
              <w:t>не более 1 единицы на одного работника</w:t>
            </w:r>
          </w:p>
        </w:tc>
        <w:tc>
          <w:tcPr>
            <w:tcW w:w="1734" w:type="dxa"/>
            <w:tcBorders>
              <w:top w:val="single" w:color="auto" w:sz="4" w:space="0"/>
              <w:left w:val="single" w:color="auto" w:sz="4" w:space="0"/>
              <w:bottom w:val="single" w:color="auto" w:sz="4" w:space="0"/>
              <w:right w:val="single" w:color="auto" w:sz="4" w:space="0"/>
            </w:tcBorders>
            <w:shd w:val="clear" w:color="auto" w:fill="auto"/>
          </w:tcPr>
          <w:p w14:paraId="73A25959">
            <w:pPr>
              <w:spacing w:after="0" w:line="240" w:lineRule="auto"/>
              <w:ind w:left="-113" w:right="-88"/>
              <w:jc w:val="center"/>
              <w:rPr>
                <w:rFonts w:ascii="Times New Roman" w:hAnsi="Times New Roman" w:eastAsia="Calibri" w:cs="Times New Roman"/>
                <w:sz w:val="20"/>
                <w:szCs w:val="20"/>
              </w:rPr>
            </w:pPr>
            <w:r>
              <w:rPr>
                <w:rFonts w:ascii="Times New Roman" w:hAnsi="Times New Roman" w:eastAsia="Calibri" w:cs="Times New Roman"/>
                <w:sz w:val="20"/>
                <w:szCs w:val="20"/>
              </w:rPr>
              <w:t>не более 1единицы на одного работника</w:t>
            </w:r>
          </w:p>
        </w:tc>
        <w:tc>
          <w:tcPr>
            <w:tcW w:w="2168" w:type="dxa"/>
            <w:tcBorders>
              <w:top w:val="single" w:color="auto" w:sz="4" w:space="0"/>
              <w:left w:val="single" w:color="auto" w:sz="4" w:space="0"/>
              <w:bottom w:val="single" w:color="auto" w:sz="4" w:space="0"/>
              <w:right w:val="single" w:color="auto" w:sz="4" w:space="0"/>
            </w:tcBorders>
            <w:shd w:val="clear" w:color="auto" w:fill="auto"/>
          </w:tcPr>
          <w:p w14:paraId="364A920F">
            <w:pPr>
              <w:spacing w:after="0" w:line="240" w:lineRule="auto"/>
              <w:ind w:left="-113" w:right="-88"/>
              <w:jc w:val="center"/>
              <w:rPr>
                <w:rFonts w:ascii="Times New Roman" w:hAnsi="Times New Roman" w:eastAsia="Calibri" w:cs="Times New Roman"/>
                <w:sz w:val="20"/>
                <w:szCs w:val="20"/>
              </w:rPr>
            </w:pPr>
            <w:r>
              <w:rPr>
                <w:rFonts w:ascii="Times New Roman" w:hAnsi="Times New Roman" w:eastAsia="Calibri" w:cs="Times New Roman"/>
                <w:sz w:val="20"/>
                <w:szCs w:val="20"/>
              </w:rPr>
              <w:t>не более 1 единицы на одного работника</w:t>
            </w:r>
          </w:p>
        </w:tc>
        <w:tc>
          <w:tcPr>
            <w:tcW w:w="1951" w:type="dxa"/>
            <w:tcBorders>
              <w:top w:val="single" w:color="auto" w:sz="4" w:space="0"/>
              <w:left w:val="single" w:color="auto" w:sz="4" w:space="0"/>
              <w:bottom w:val="single" w:color="auto" w:sz="4" w:space="0"/>
              <w:right w:val="single" w:color="auto" w:sz="4" w:space="0"/>
            </w:tcBorders>
          </w:tcPr>
          <w:p w14:paraId="65D2247C">
            <w:pPr>
              <w:spacing w:after="0" w:line="240" w:lineRule="auto"/>
              <w:ind w:left="-113" w:right="-88"/>
              <w:jc w:val="center"/>
              <w:rPr>
                <w:rFonts w:ascii="Times New Roman" w:hAnsi="Times New Roman" w:eastAsia="Calibri" w:cs="Times New Roman"/>
                <w:sz w:val="20"/>
                <w:szCs w:val="20"/>
              </w:rPr>
            </w:pPr>
            <w:r>
              <w:rPr>
                <w:rFonts w:ascii="Times New Roman" w:hAnsi="Times New Roman" w:eastAsia="Calibri" w:cs="Times New Roman"/>
                <w:sz w:val="20"/>
                <w:szCs w:val="20"/>
              </w:rPr>
              <w:t>не более 1 единицы на одного работника</w:t>
            </w:r>
          </w:p>
        </w:tc>
      </w:tr>
      <w:tr w14:paraId="64789249">
        <w:tblPrEx>
          <w:tblCellMar>
            <w:top w:w="0" w:type="dxa"/>
            <w:left w:w="108" w:type="dxa"/>
            <w:bottom w:w="0" w:type="dxa"/>
            <w:right w:w="108" w:type="dxa"/>
          </w:tblCellMar>
        </w:tblPrEx>
        <w:trPr>
          <w:trHeight w:val="303" w:hRule="atLeast"/>
        </w:trPr>
        <w:tc>
          <w:tcPr>
            <w:tcW w:w="2235" w:type="dxa"/>
            <w:tcBorders>
              <w:top w:val="single" w:color="auto" w:sz="4" w:space="0"/>
              <w:left w:val="single" w:color="auto" w:sz="4" w:space="0"/>
              <w:bottom w:val="single" w:color="auto" w:sz="4" w:space="0"/>
              <w:right w:val="single" w:color="auto" w:sz="4" w:space="0"/>
            </w:tcBorders>
          </w:tcPr>
          <w:p w14:paraId="167C823B">
            <w:pPr>
              <w:spacing w:after="0" w:line="240" w:lineRule="auto"/>
              <w:ind w:right="-88"/>
              <w:rPr>
                <w:rFonts w:ascii="Times New Roman" w:hAnsi="Times New Roman" w:eastAsia="Calibri" w:cs="Times New Roman"/>
                <w:sz w:val="20"/>
                <w:szCs w:val="20"/>
              </w:rPr>
            </w:pPr>
            <w:r>
              <w:rPr>
                <w:rFonts w:ascii="Times New Roman" w:hAnsi="Times New Roman" w:eastAsia="Calibri" w:cs="Times New Roman"/>
                <w:sz w:val="20"/>
                <w:szCs w:val="20"/>
              </w:rPr>
              <w:t>Норматив цены за единицу (рублей)</w:t>
            </w:r>
          </w:p>
        </w:tc>
        <w:tc>
          <w:tcPr>
            <w:tcW w:w="1517" w:type="dxa"/>
            <w:tcBorders>
              <w:top w:val="single" w:color="auto" w:sz="4" w:space="0"/>
              <w:left w:val="single" w:color="auto" w:sz="4" w:space="0"/>
              <w:bottom w:val="single" w:color="auto" w:sz="4" w:space="0"/>
              <w:right w:val="single" w:color="auto" w:sz="4" w:space="0"/>
            </w:tcBorders>
            <w:shd w:val="clear" w:color="auto" w:fill="auto"/>
          </w:tcPr>
          <w:p w14:paraId="419CBF4A">
            <w:pPr>
              <w:spacing w:after="0" w:line="240" w:lineRule="auto"/>
              <w:ind w:left="-113" w:right="-88"/>
              <w:jc w:val="center"/>
              <w:rPr>
                <w:rFonts w:ascii="Times New Roman" w:hAnsi="Times New Roman" w:eastAsia="Calibri" w:cs="Times New Roman"/>
                <w:sz w:val="20"/>
                <w:szCs w:val="20"/>
              </w:rPr>
            </w:pPr>
            <w:r>
              <w:rPr>
                <w:rFonts w:ascii="Times New Roman" w:hAnsi="Times New Roman" w:eastAsia="Calibri" w:cs="Times New Roman"/>
                <w:sz w:val="20"/>
                <w:szCs w:val="20"/>
              </w:rPr>
              <w:t>не более 9000,00</w:t>
            </w:r>
          </w:p>
        </w:tc>
        <w:tc>
          <w:tcPr>
            <w:tcW w:w="1734" w:type="dxa"/>
            <w:tcBorders>
              <w:top w:val="single" w:color="auto" w:sz="4" w:space="0"/>
              <w:left w:val="single" w:color="auto" w:sz="4" w:space="0"/>
              <w:bottom w:val="single" w:color="auto" w:sz="4" w:space="0"/>
              <w:right w:val="single" w:color="auto" w:sz="4" w:space="0"/>
            </w:tcBorders>
            <w:shd w:val="clear" w:color="auto" w:fill="auto"/>
          </w:tcPr>
          <w:p w14:paraId="35635A04">
            <w:pPr>
              <w:spacing w:after="0" w:line="240" w:lineRule="auto"/>
              <w:ind w:left="-113" w:right="-88"/>
              <w:jc w:val="center"/>
              <w:rPr>
                <w:rFonts w:ascii="Times New Roman" w:hAnsi="Times New Roman" w:eastAsia="Calibri" w:cs="Times New Roman"/>
                <w:sz w:val="20"/>
                <w:szCs w:val="20"/>
              </w:rPr>
            </w:pPr>
            <w:r>
              <w:rPr>
                <w:rFonts w:ascii="Times New Roman" w:hAnsi="Times New Roman" w:eastAsia="Calibri" w:cs="Times New Roman"/>
                <w:sz w:val="20"/>
                <w:szCs w:val="20"/>
              </w:rPr>
              <w:t>не более 9000,00</w:t>
            </w:r>
          </w:p>
        </w:tc>
        <w:tc>
          <w:tcPr>
            <w:tcW w:w="1951" w:type="dxa"/>
            <w:tcBorders>
              <w:top w:val="single" w:color="auto" w:sz="4" w:space="0"/>
              <w:left w:val="single" w:color="auto" w:sz="4" w:space="0"/>
              <w:bottom w:val="single" w:color="auto" w:sz="4" w:space="0"/>
              <w:right w:val="single" w:color="auto" w:sz="4" w:space="0"/>
            </w:tcBorders>
          </w:tcPr>
          <w:p w14:paraId="3F812704">
            <w:pPr>
              <w:spacing w:after="0" w:line="240" w:lineRule="auto"/>
              <w:ind w:left="-113" w:right="-88"/>
              <w:jc w:val="center"/>
              <w:rPr>
                <w:rFonts w:ascii="Times New Roman" w:hAnsi="Times New Roman" w:eastAsia="Calibri" w:cs="Times New Roman"/>
                <w:sz w:val="20"/>
                <w:szCs w:val="20"/>
              </w:rPr>
            </w:pPr>
            <w:r>
              <w:rPr>
                <w:rFonts w:ascii="Times New Roman" w:hAnsi="Times New Roman" w:eastAsia="Calibri" w:cs="Times New Roman"/>
                <w:sz w:val="20"/>
                <w:szCs w:val="20"/>
              </w:rPr>
              <w:t>не более 5000,00</w:t>
            </w:r>
          </w:p>
        </w:tc>
        <w:tc>
          <w:tcPr>
            <w:tcW w:w="1736" w:type="dxa"/>
            <w:tcBorders>
              <w:top w:val="single" w:color="auto" w:sz="4" w:space="0"/>
              <w:left w:val="single" w:color="auto" w:sz="4" w:space="0"/>
              <w:bottom w:val="single" w:color="auto" w:sz="4" w:space="0"/>
              <w:right w:val="single" w:color="auto" w:sz="4" w:space="0"/>
            </w:tcBorders>
          </w:tcPr>
          <w:p w14:paraId="58C29CF1">
            <w:pPr>
              <w:spacing w:after="0" w:line="240" w:lineRule="auto"/>
              <w:ind w:left="-113" w:right="-88"/>
              <w:jc w:val="center"/>
              <w:rPr>
                <w:rFonts w:ascii="Times New Roman" w:hAnsi="Times New Roman" w:eastAsia="Calibri" w:cs="Times New Roman"/>
                <w:sz w:val="20"/>
                <w:szCs w:val="20"/>
              </w:rPr>
            </w:pPr>
            <w:r>
              <w:rPr>
                <w:rFonts w:ascii="Times New Roman" w:hAnsi="Times New Roman" w:eastAsia="Calibri" w:cs="Times New Roman"/>
                <w:sz w:val="20"/>
                <w:szCs w:val="20"/>
              </w:rPr>
              <w:t>не более 2000,00</w:t>
            </w:r>
          </w:p>
        </w:tc>
        <w:tc>
          <w:tcPr>
            <w:tcW w:w="1734" w:type="dxa"/>
            <w:tcBorders>
              <w:top w:val="single" w:color="auto" w:sz="4" w:space="0"/>
              <w:left w:val="single" w:color="auto" w:sz="4" w:space="0"/>
              <w:bottom w:val="single" w:color="auto" w:sz="4" w:space="0"/>
              <w:right w:val="single" w:color="auto" w:sz="4" w:space="0"/>
            </w:tcBorders>
            <w:shd w:val="clear" w:color="auto" w:fill="auto"/>
          </w:tcPr>
          <w:p w14:paraId="3D0BB73F">
            <w:pPr>
              <w:spacing w:after="0" w:line="240" w:lineRule="auto"/>
              <w:ind w:left="-113" w:right="-88"/>
              <w:jc w:val="center"/>
              <w:rPr>
                <w:rFonts w:ascii="Times New Roman" w:hAnsi="Times New Roman" w:eastAsia="Calibri" w:cs="Times New Roman"/>
                <w:sz w:val="20"/>
                <w:szCs w:val="20"/>
              </w:rPr>
            </w:pPr>
            <w:r>
              <w:rPr>
                <w:rFonts w:ascii="Times New Roman" w:hAnsi="Times New Roman" w:eastAsia="Calibri" w:cs="Times New Roman"/>
                <w:sz w:val="20"/>
                <w:szCs w:val="20"/>
              </w:rPr>
              <w:t>не более 9000,00</w:t>
            </w:r>
          </w:p>
        </w:tc>
        <w:tc>
          <w:tcPr>
            <w:tcW w:w="2168" w:type="dxa"/>
            <w:tcBorders>
              <w:top w:val="single" w:color="auto" w:sz="4" w:space="0"/>
              <w:left w:val="single" w:color="auto" w:sz="4" w:space="0"/>
              <w:bottom w:val="single" w:color="auto" w:sz="4" w:space="0"/>
              <w:right w:val="single" w:color="auto" w:sz="4" w:space="0"/>
            </w:tcBorders>
            <w:shd w:val="clear" w:color="auto" w:fill="auto"/>
          </w:tcPr>
          <w:p w14:paraId="0581C2BC">
            <w:pPr>
              <w:spacing w:after="0" w:line="240" w:lineRule="auto"/>
              <w:ind w:left="-113" w:right="-88"/>
              <w:jc w:val="center"/>
              <w:rPr>
                <w:rFonts w:ascii="Times New Roman" w:hAnsi="Times New Roman" w:eastAsia="Calibri" w:cs="Times New Roman"/>
                <w:sz w:val="20"/>
                <w:szCs w:val="20"/>
              </w:rPr>
            </w:pPr>
            <w:r>
              <w:rPr>
                <w:rFonts w:ascii="Times New Roman" w:hAnsi="Times New Roman" w:eastAsia="Calibri" w:cs="Times New Roman"/>
                <w:sz w:val="20"/>
                <w:szCs w:val="20"/>
              </w:rPr>
              <w:t>не более 9000,00</w:t>
            </w:r>
          </w:p>
        </w:tc>
        <w:tc>
          <w:tcPr>
            <w:tcW w:w="1951" w:type="dxa"/>
            <w:tcBorders>
              <w:top w:val="single" w:color="auto" w:sz="4" w:space="0"/>
              <w:left w:val="single" w:color="auto" w:sz="4" w:space="0"/>
              <w:bottom w:val="single" w:color="auto" w:sz="4" w:space="0"/>
              <w:right w:val="single" w:color="auto" w:sz="4" w:space="0"/>
            </w:tcBorders>
          </w:tcPr>
          <w:p w14:paraId="5E18476A">
            <w:pPr>
              <w:spacing w:after="0" w:line="240" w:lineRule="auto"/>
              <w:ind w:left="-113" w:right="-88"/>
              <w:jc w:val="center"/>
              <w:rPr>
                <w:rFonts w:ascii="Times New Roman" w:hAnsi="Times New Roman" w:eastAsia="Calibri" w:cs="Times New Roman"/>
                <w:sz w:val="20"/>
                <w:szCs w:val="20"/>
              </w:rPr>
            </w:pPr>
            <w:r>
              <w:rPr>
                <w:rFonts w:ascii="Times New Roman" w:hAnsi="Times New Roman" w:eastAsia="Calibri" w:cs="Times New Roman"/>
                <w:sz w:val="20"/>
                <w:szCs w:val="20"/>
              </w:rPr>
              <w:t>не более 4000,00</w:t>
            </w:r>
          </w:p>
        </w:tc>
      </w:tr>
      <w:tr w14:paraId="2A60DD61">
        <w:tblPrEx>
          <w:tblCellMar>
            <w:top w:w="0" w:type="dxa"/>
            <w:left w:w="108" w:type="dxa"/>
            <w:bottom w:w="0" w:type="dxa"/>
            <w:right w:w="108" w:type="dxa"/>
          </w:tblCellMar>
        </w:tblPrEx>
        <w:trPr>
          <w:trHeight w:val="303" w:hRule="atLeast"/>
        </w:trPr>
        <w:tc>
          <w:tcPr>
            <w:tcW w:w="2235" w:type="dxa"/>
            <w:tcBorders>
              <w:top w:val="single" w:color="auto" w:sz="4" w:space="0"/>
              <w:left w:val="single" w:color="auto" w:sz="4" w:space="0"/>
              <w:bottom w:val="single" w:color="auto" w:sz="4" w:space="0"/>
              <w:right w:val="single" w:color="auto" w:sz="4" w:space="0"/>
            </w:tcBorders>
          </w:tcPr>
          <w:p w14:paraId="0090E020">
            <w:pPr>
              <w:spacing w:after="0" w:line="240" w:lineRule="auto"/>
              <w:ind w:right="-88"/>
              <w:rPr>
                <w:rFonts w:ascii="Times New Roman" w:hAnsi="Times New Roman" w:eastAsia="Calibri" w:cs="Times New Roman"/>
                <w:sz w:val="20"/>
                <w:szCs w:val="20"/>
              </w:rPr>
            </w:pPr>
            <w:r>
              <w:rPr>
                <w:rFonts w:ascii="Times New Roman" w:hAnsi="Times New Roman" w:eastAsia="Calibri" w:cs="Times New Roman"/>
                <w:sz w:val="20"/>
                <w:szCs w:val="20"/>
              </w:rPr>
              <w:t>Аккумулятор для радиотелефона</w:t>
            </w:r>
          </w:p>
        </w:tc>
        <w:tc>
          <w:tcPr>
            <w:tcW w:w="1517" w:type="dxa"/>
            <w:tcBorders>
              <w:top w:val="single" w:color="auto" w:sz="4" w:space="0"/>
              <w:left w:val="single" w:color="auto" w:sz="4" w:space="0"/>
              <w:bottom w:val="single" w:color="auto" w:sz="4" w:space="0"/>
              <w:right w:val="single" w:color="auto" w:sz="4" w:space="0"/>
            </w:tcBorders>
            <w:shd w:val="clear" w:color="auto" w:fill="auto"/>
          </w:tcPr>
          <w:p w14:paraId="50F2EACA">
            <w:pPr>
              <w:spacing w:after="0" w:line="240" w:lineRule="auto"/>
              <w:ind w:left="-113" w:right="-88"/>
              <w:jc w:val="center"/>
              <w:rPr>
                <w:rFonts w:ascii="Times New Roman" w:hAnsi="Times New Roman" w:eastAsia="Calibri" w:cs="Times New Roman"/>
                <w:sz w:val="20"/>
                <w:szCs w:val="20"/>
              </w:rPr>
            </w:pPr>
          </w:p>
        </w:tc>
        <w:tc>
          <w:tcPr>
            <w:tcW w:w="1734" w:type="dxa"/>
            <w:tcBorders>
              <w:top w:val="single" w:color="auto" w:sz="4" w:space="0"/>
              <w:left w:val="single" w:color="auto" w:sz="4" w:space="0"/>
              <w:bottom w:val="single" w:color="auto" w:sz="4" w:space="0"/>
              <w:right w:val="single" w:color="auto" w:sz="4" w:space="0"/>
            </w:tcBorders>
            <w:shd w:val="clear" w:color="auto" w:fill="auto"/>
          </w:tcPr>
          <w:p w14:paraId="122625F2">
            <w:pPr>
              <w:spacing w:after="0" w:line="240" w:lineRule="auto"/>
              <w:ind w:left="-113" w:right="-88"/>
              <w:jc w:val="center"/>
              <w:rPr>
                <w:rFonts w:ascii="Times New Roman" w:hAnsi="Times New Roman" w:eastAsia="Calibri" w:cs="Times New Roman"/>
                <w:sz w:val="20"/>
                <w:szCs w:val="20"/>
              </w:rPr>
            </w:pPr>
          </w:p>
        </w:tc>
        <w:tc>
          <w:tcPr>
            <w:tcW w:w="1951" w:type="dxa"/>
            <w:tcBorders>
              <w:top w:val="single" w:color="auto" w:sz="4" w:space="0"/>
              <w:left w:val="single" w:color="auto" w:sz="4" w:space="0"/>
              <w:bottom w:val="single" w:color="auto" w:sz="4" w:space="0"/>
              <w:right w:val="single" w:color="auto" w:sz="4" w:space="0"/>
            </w:tcBorders>
          </w:tcPr>
          <w:p w14:paraId="5C8A7CB2">
            <w:pPr>
              <w:spacing w:after="0" w:line="240" w:lineRule="auto"/>
              <w:ind w:left="-113" w:right="-88"/>
              <w:jc w:val="center"/>
              <w:rPr>
                <w:rFonts w:ascii="Times New Roman" w:hAnsi="Times New Roman" w:eastAsia="Calibri" w:cs="Times New Roman"/>
                <w:sz w:val="20"/>
                <w:szCs w:val="20"/>
              </w:rPr>
            </w:pPr>
          </w:p>
        </w:tc>
        <w:tc>
          <w:tcPr>
            <w:tcW w:w="1736" w:type="dxa"/>
            <w:tcBorders>
              <w:top w:val="single" w:color="auto" w:sz="4" w:space="0"/>
              <w:left w:val="single" w:color="auto" w:sz="4" w:space="0"/>
              <w:bottom w:val="single" w:color="auto" w:sz="4" w:space="0"/>
              <w:right w:val="single" w:color="auto" w:sz="4" w:space="0"/>
            </w:tcBorders>
          </w:tcPr>
          <w:p w14:paraId="47DE92F4">
            <w:pPr>
              <w:spacing w:after="0" w:line="240" w:lineRule="auto"/>
              <w:ind w:left="-113" w:right="-88"/>
              <w:jc w:val="center"/>
              <w:rPr>
                <w:rFonts w:ascii="Times New Roman" w:hAnsi="Times New Roman" w:eastAsia="Calibri" w:cs="Times New Roman"/>
                <w:sz w:val="20"/>
                <w:szCs w:val="20"/>
              </w:rPr>
            </w:pPr>
          </w:p>
        </w:tc>
        <w:tc>
          <w:tcPr>
            <w:tcW w:w="1734" w:type="dxa"/>
            <w:tcBorders>
              <w:top w:val="single" w:color="auto" w:sz="4" w:space="0"/>
              <w:left w:val="single" w:color="auto" w:sz="4" w:space="0"/>
              <w:bottom w:val="single" w:color="auto" w:sz="4" w:space="0"/>
              <w:right w:val="single" w:color="auto" w:sz="4" w:space="0"/>
            </w:tcBorders>
            <w:shd w:val="clear" w:color="auto" w:fill="auto"/>
          </w:tcPr>
          <w:p w14:paraId="40B86FC2">
            <w:pPr>
              <w:spacing w:after="0" w:line="240" w:lineRule="auto"/>
              <w:ind w:left="-113" w:right="-88"/>
              <w:jc w:val="center"/>
              <w:rPr>
                <w:rFonts w:ascii="Times New Roman" w:hAnsi="Times New Roman" w:eastAsia="Calibri" w:cs="Times New Roman"/>
                <w:sz w:val="20"/>
                <w:szCs w:val="20"/>
              </w:rPr>
            </w:pPr>
          </w:p>
        </w:tc>
        <w:tc>
          <w:tcPr>
            <w:tcW w:w="2168" w:type="dxa"/>
            <w:tcBorders>
              <w:top w:val="single" w:color="auto" w:sz="4" w:space="0"/>
              <w:left w:val="single" w:color="auto" w:sz="4" w:space="0"/>
              <w:bottom w:val="single" w:color="auto" w:sz="4" w:space="0"/>
              <w:right w:val="single" w:color="auto" w:sz="4" w:space="0"/>
            </w:tcBorders>
            <w:shd w:val="clear" w:color="auto" w:fill="auto"/>
          </w:tcPr>
          <w:p w14:paraId="7EA44C80">
            <w:pPr>
              <w:spacing w:after="0" w:line="240" w:lineRule="auto"/>
              <w:ind w:left="-113" w:right="-88"/>
              <w:jc w:val="center"/>
              <w:rPr>
                <w:rFonts w:ascii="Times New Roman" w:hAnsi="Times New Roman" w:eastAsia="Calibri" w:cs="Times New Roman"/>
                <w:sz w:val="20"/>
                <w:szCs w:val="20"/>
              </w:rPr>
            </w:pPr>
          </w:p>
        </w:tc>
        <w:tc>
          <w:tcPr>
            <w:tcW w:w="1951" w:type="dxa"/>
            <w:tcBorders>
              <w:top w:val="single" w:color="auto" w:sz="4" w:space="0"/>
              <w:left w:val="single" w:color="auto" w:sz="4" w:space="0"/>
              <w:bottom w:val="single" w:color="auto" w:sz="4" w:space="0"/>
              <w:right w:val="single" w:color="auto" w:sz="4" w:space="0"/>
            </w:tcBorders>
          </w:tcPr>
          <w:p w14:paraId="0017C157">
            <w:pPr>
              <w:spacing w:after="0" w:line="240" w:lineRule="auto"/>
              <w:ind w:left="-113" w:right="-88"/>
              <w:jc w:val="center"/>
              <w:rPr>
                <w:rFonts w:ascii="Times New Roman" w:hAnsi="Times New Roman" w:eastAsia="Calibri" w:cs="Times New Roman"/>
                <w:sz w:val="20"/>
                <w:szCs w:val="20"/>
              </w:rPr>
            </w:pPr>
          </w:p>
        </w:tc>
      </w:tr>
      <w:tr w14:paraId="03785DEE">
        <w:tblPrEx>
          <w:tblCellMar>
            <w:top w:w="0" w:type="dxa"/>
            <w:left w:w="108" w:type="dxa"/>
            <w:bottom w:w="0" w:type="dxa"/>
            <w:right w:w="108" w:type="dxa"/>
          </w:tblCellMar>
        </w:tblPrEx>
        <w:trPr>
          <w:trHeight w:val="262" w:hRule="atLeast"/>
        </w:trPr>
        <w:tc>
          <w:tcPr>
            <w:tcW w:w="2235" w:type="dxa"/>
            <w:tcBorders>
              <w:top w:val="single" w:color="auto" w:sz="4" w:space="0"/>
              <w:left w:val="single" w:color="auto" w:sz="4" w:space="0"/>
              <w:bottom w:val="single" w:color="auto" w:sz="4" w:space="0"/>
              <w:right w:val="single" w:color="auto" w:sz="4" w:space="0"/>
            </w:tcBorders>
          </w:tcPr>
          <w:p w14:paraId="6119A39C">
            <w:pPr>
              <w:spacing w:after="0" w:line="240" w:lineRule="auto"/>
              <w:ind w:right="-88"/>
              <w:rPr>
                <w:rFonts w:ascii="Times New Roman" w:hAnsi="Times New Roman" w:eastAsia="Calibri" w:cs="Times New Roman"/>
                <w:sz w:val="20"/>
                <w:szCs w:val="20"/>
              </w:rPr>
            </w:pPr>
            <w:r>
              <w:rPr>
                <w:rFonts w:ascii="Times New Roman" w:hAnsi="Times New Roman" w:eastAsia="Calibri" w:cs="Times New Roman"/>
                <w:sz w:val="20"/>
                <w:szCs w:val="20"/>
              </w:rPr>
              <w:t>Норматив количества</w:t>
            </w:r>
          </w:p>
        </w:tc>
        <w:tc>
          <w:tcPr>
            <w:tcW w:w="1517" w:type="dxa"/>
            <w:tcBorders>
              <w:top w:val="single" w:color="auto" w:sz="4" w:space="0"/>
              <w:left w:val="single" w:color="auto" w:sz="4" w:space="0"/>
              <w:bottom w:val="single" w:color="auto" w:sz="4" w:space="0"/>
              <w:right w:val="single" w:color="auto" w:sz="4" w:space="0"/>
            </w:tcBorders>
            <w:shd w:val="clear" w:color="auto" w:fill="auto"/>
          </w:tcPr>
          <w:p w14:paraId="2FA68931">
            <w:pPr>
              <w:spacing w:after="0" w:line="240" w:lineRule="auto"/>
              <w:ind w:left="-113" w:right="-88"/>
              <w:jc w:val="center"/>
              <w:rPr>
                <w:rFonts w:ascii="Times New Roman" w:hAnsi="Times New Roman" w:eastAsia="Calibri" w:cs="Times New Roman"/>
                <w:sz w:val="20"/>
                <w:szCs w:val="20"/>
              </w:rPr>
            </w:pPr>
            <w:r>
              <w:rPr>
                <w:rFonts w:ascii="Times New Roman" w:hAnsi="Times New Roman" w:eastAsia="Calibri" w:cs="Times New Roman"/>
                <w:sz w:val="20"/>
                <w:szCs w:val="20"/>
              </w:rPr>
              <w:t>не более 2 единиц на одного работника</w:t>
            </w:r>
          </w:p>
        </w:tc>
        <w:tc>
          <w:tcPr>
            <w:tcW w:w="1734" w:type="dxa"/>
            <w:tcBorders>
              <w:top w:val="single" w:color="auto" w:sz="4" w:space="0"/>
              <w:left w:val="single" w:color="auto" w:sz="4" w:space="0"/>
              <w:bottom w:val="single" w:color="auto" w:sz="4" w:space="0"/>
              <w:right w:val="single" w:color="auto" w:sz="4" w:space="0"/>
            </w:tcBorders>
            <w:shd w:val="clear" w:color="auto" w:fill="auto"/>
          </w:tcPr>
          <w:p w14:paraId="22E9D766">
            <w:pPr>
              <w:spacing w:after="0" w:line="240" w:lineRule="auto"/>
              <w:ind w:left="-113" w:right="-88"/>
              <w:jc w:val="center"/>
              <w:rPr>
                <w:rFonts w:ascii="Times New Roman" w:hAnsi="Times New Roman" w:eastAsia="Calibri" w:cs="Times New Roman"/>
                <w:sz w:val="20"/>
                <w:szCs w:val="20"/>
              </w:rPr>
            </w:pPr>
            <w:r>
              <w:rPr>
                <w:rFonts w:ascii="Times New Roman" w:hAnsi="Times New Roman" w:eastAsia="Calibri" w:cs="Times New Roman"/>
                <w:sz w:val="20"/>
                <w:szCs w:val="20"/>
              </w:rPr>
              <w:t>не более 2 единиц на одного работника</w:t>
            </w:r>
          </w:p>
        </w:tc>
        <w:tc>
          <w:tcPr>
            <w:tcW w:w="1951" w:type="dxa"/>
            <w:tcBorders>
              <w:top w:val="single" w:color="auto" w:sz="4" w:space="0"/>
              <w:left w:val="single" w:color="auto" w:sz="4" w:space="0"/>
              <w:bottom w:val="single" w:color="auto" w:sz="4" w:space="0"/>
              <w:right w:val="single" w:color="auto" w:sz="4" w:space="0"/>
            </w:tcBorders>
          </w:tcPr>
          <w:p w14:paraId="7FF9192D">
            <w:pPr>
              <w:spacing w:after="0" w:line="240" w:lineRule="auto"/>
              <w:ind w:left="-113" w:right="-88"/>
              <w:jc w:val="center"/>
              <w:rPr>
                <w:rFonts w:ascii="Times New Roman" w:hAnsi="Times New Roman" w:eastAsia="Calibri" w:cs="Times New Roman"/>
                <w:sz w:val="20"/>
                <w:szCs w:val="20"/>
              </w:rPr>
            </w:pPr>
            <w:r>
              <w:rPr>
                <w:rFonts w:ascii="Times New Roman" w:hAnsi="Times New Roman" w:eastAsia="Calibri" w:cs="Times New Roman"/>
                <w:sz w:val="20"/>
                <w:szCs w:val="20"/>
              </w:rPr>
              <w:t>не более 2 единиц на одного работника</w:t>
            </w:r>
          </w:p>
        </w:tc>
        <w:tc>
          <w:tcPr>
            <w:tcW w:w="1736" w:type="dxa"/>
            <w:tcBorders>
              <w:top w:val="single" w:color="auto" w:sz="4" w:space="0"/>
              <w:left w:val="single" w:color="auto" w:sz="4" w:space="0"/>
              <w:bottom w:val="single" w:color="auto" w:sz="4" w:space="0"/>
              <w:right w:val="single" w:color="auto" w:sz="4" w:space="0"/>
            </w:tcBorders>
          </w:tcPr>
          <w:p w14:paraId="1247CB3C">
            <w:pPr>
              <w:spacing w:after="0" w:line="240" w:lineRule="auto"/>
              <w:ind w:left="-113" w:right="-88"/>
              <w:jc w:val="center"/>
              <w:rPr>
                <w:rFonts w:ascii="Times New Roman" w:hAnsi="Times New Roman" w:eastAsia="Calibri" w:cs="Times New Roman"/>
                <w:sz w:val="20"/>
                <w:szCs w:val="20"/>
              </w:rPr>
            </w:pPr>
            <w:r>
              <w:rPr>
                <w:rFonts w:ascii="Times New Roman" w:hAnsi="Times New Roman" w:eastAsia="Calibri" w:cs="Times New Roman"/>
                <w:sz w:val="20"/>
                <w:szCs w:val="20"/>
              </w:rPr>
              <w:t>не более 2 единиц на одного работника</w:t>
            </w:r>
          </w:p>
        </w:tc>
        <w:tc>
          <w:tcPr>
            <w:tcW w:w="1734" w:type="dxa"/>
            <w:tcBorders>
              <w:top w:val="single" w:color="auto" w:sz="4" w:space="0"/>
              <w:left w:val="single" w:color="auto" w:sz="4" w:space="0"/>
              <w:bottom w:val="single" w:color="auto" w:sz="4" w:space="0"/>
              <w:right w:val="single" w:color="auto" w:sz="4" w:space="0"/>
            </w:tcBorders>
            <w:shd w:val="clear" w:color="auto" w:fill="auto"/>
          </w:tcPr>
          <w:p w14:paraId="674C883F">
            <w:pPr>
              <w:spacing w:after="0" w:line="240" w:lineRule="auto"/>
              <w:ind w:left="-113" w:right="-88"/>
              <w:jc w:val="center"/>
              <w:rPr>
                <w:rFonts w:ascii="Times New Roman" w:hAnsi="Times New Roman" w:eastAsia="Calibri" w:cs="Times New Roman"/>
                <w:sz w:val="20"/>
                <w:szCs w:val="20"/>
              </w:rPr>
            </w:pPr>
            <w:r>
              <w:rPr>
                <w:rFonts w:ascii="Times New Roman" w:hAnsi="Times New Roman" w:eastAsia="Calibri" w:cs="Times New Roman"/>
                <w:sz w:val="20"/>
                <w:szCs w:val="20"/>
              </w:rPr>
              <w:t>не более 2 единиц на одного работника</w:t>
            </w:r>
          </w:p>
        </w:tc>
        <w:tc>
          <w:tcPr>
            <w:tcW w:w="2168" w:type="dxa"/>
            <w:tcBorders>
              <w:top w:val="single" w:color="auto" w:sz="4" w:space="0"/>
              <w:left w:val="single" w:color="auto" w:sz="4" w:space="0"/>
              <w:bottom w:val="single" w:color="auto" w:sz="4" w:space="0"/>
              <w:right w:val="single" w:color="auto" w:sz="4" w:space="0"/>
            </w:tcBorders>
            <w:shd w:val="clear" w:color="auto" w:fill="auto"/>
          </w:tcPr>
          <w:p w14:paraId="7E13D5B7">
            <w:pPr>
              <w:spacing w:after="0" w:line="240" w:lineRule="auto"/>
              <w:ind w:left="-113" w:right="-88"/>
              <w:jc w:val="center"/>
              <w:rPr>
                <w:rFonts w:ascii="Times New Roman" w:hAnsi="Times New Roman" w:eastAsia="Calibri" w:cs="Times New Roman"/>
                <w:sz w:val="20"/>
                <w:szCs w:val="20"/>
              </w:rPr>
            </w:pPr>
            <w:r>
              <w:rPr>
                <w:rFonts w:ascii="Times New Roman" w:hAnsi="Times New Roman" w:eastAsia="Calibri" w:cs="Times New Roman"/>
                <w:sz w:val="20"/>
                <w:szCs w:val="20"/>
              </w:rPr>
              <w:t>не более 2 единиц на одного сотрудника</w:t>
            </w:r>
          </w:p>
        </w:tc>
        <w:tc>
          <w:tcPr>
            <w:tcW w:w="1951" w:type="dxa"/>
            <w:tcBorders>
              <w:top w:val="single" w:color="auto" w:sz="4" w:space="0"/>
              <w:left w:val="single" w:color="auto" w:sz="4" w:space="0"/>
              <w:bottom w:val="single" w:color="auto" w:sz="4" w:space="0"/>
              <w:right w:val="single" w:color="auto" w:sz="4" w:space="0"/>
            </w:tcBorders>
          </w:tcPr>
          <w:p w14:paraId="59FABED9">
            <w:pPr>
              <w:spacing w:after="0" w:line="240" w:lineRule="auto"/>
              <w:ind w:left="-113" w:right="-88"/>
              <w:jc w:val="center"/>
              <w:rPr>
                <w:rFonts w:ascii="Times New Roman" w:hAnsi="Times New Roman" w:eastAsia="Calibri" w:cs="Times New Roman"/>
                <w:sz w:val="20"/>
                <w:szCs w:val="20"/>
              </w:rPr>
            </w:pPr>
            <w:r>
              <w:rPr>
                <w:rFonts w:ascii="Times New Roman" w:hAnsi="Times New Roman" w:eastAsia="Calibri" w:cs="Times New Roman"/>
                <w:sz w:val="20"/>
                <w:szCs w:val="20"/>
              </w:rPr>
              <w:t>не более 2 единиц на одного работника</w:t>
            </w:r>
          </w:p>
        </w:tc>
      </w:tr>
      <w:tr w14:paraId="60D1799D">
        <w:tblPrEx>
          <w:tblCellMar>
            <w:top w:w="0" w:type="dxa"/>
            <w:left w:w="108" w:type="dxa"/>
            <w:bottom w:w="0" w:type="dxa"/>
            <w:right w:w="108" w:type="dxa"/>
          </w:tblCellMar>
        </w:tblPrEx>
        <w:trPr>
          <w:trHeight w:val="410" w:hRule="atLeast"/>
        </w:trPr>
        <w:tc>
          <w:tcPr>
            <w:tcW w:w="2235" w:type="dxa"/>
            <w:tcBorders>
              <w:top w:val="single" w:color="auto" w:sz="4" w:space="0"/>
              <w:left w:val="single" w:color="auto" w:sz="4" w:space="0"/>
              <w:bottom w:val="single" w:color="auto" w:sz="4" w:space="0"/>
              <w:right w:val="single" w:color="auto" w:sz="4" w:space="0"/>
            </w:tcBorders>
          </w:tcPr>
          <w:p w14:paraId="3BB837CC">
            <w:pPr>
              <w:spacing w:after="0" w:line="240" w:lineRule="auto"/>
              <w:ind w:right="-88"/>
              <w:rPr>
                <w:rFonts w:ascii="Times New Roman" w:hAnsi="Times New Roman" w:eastAsia="Calibri" w:cs="Times New Roman"/>
                <w:sz w:val="20"/>
                <w:szCs w:val="20"/>
              </w:rPr>
            </w:pPr>
            <w:r>
              <w:rPr>
                <w:rFonts w:ascii="Times New Roman" w:hAnsi="Times New Roman" w:eastAsia="Calibri" w:cs="Times New Roman"/>
                <w:sz w:val="20"/>
                <w:szCs w:val="20"/>
              </w:rPr>
              <w:t>Норматив цены за единицу (рублей)</w:t>
            </w:r>
          </w:p>
        </w:tc>
        <w:tc>
          <w:tcPr>
            <w:tcW w:w="1517" w:type="dxa"/>
            <w:tcBorders>
              <w:top w:val="single" w:color="auto" w:sz="4" w:space="0"/>
              <w:left w:val="single" w:color="auto" w:sz="4" w:space="0"/>
              <w:bottom w:val="single" w:color="auto" w:sz="4" w:space="0"/>
              <w:right w:val="single" w:color="auto" w:sz="4" w:space="0"/>
            </w:tcBorders>
            <w:shd w:val="clear" w:color="auto" w:fill="auto"/>
          </w:tcPr>
          <w:p w14:paraId="254159C3">
            <w:pPr>
              <w:spacing w:after="0" w:line="240" w:lineRule="auto"/>
              <w:ind w:left="-113" w:right="-88"/>
              <w:jc w:val="center"/>
              <w:rPr>
                <w:rFonts w:ascii="Times New Roman" w:hAnsi="Times New Roman" w:eastAsia="Calibri" w:cs="Times New Roman"/>
                <w:sz w:val="20"/>
                <w:szCs w:val="20"/>
              </w:rPr>
            </w:pPr>
            <w:r>
              <w:rPr>
                <w:rFonts w:ascii="Times New Roman" w:hAnsi="Times New Roman" w:eastAsia="Calibri" w:cs="Times New Roman"/>
                <w:sz w:val="20"/>
                <w:szCs w:val="20"/>
              </w:rPr>
              <w:t>не более 300,00</w:t>
            </w:r>
          </w:p>
        </w:tc>
        <w:tc>
          <w:tcPr>
            <w:tcW w:w="1734" w:type="dxa"/>
            <w:tcBorders>
              <w:top w:val="single" w:color="auto" w:sz="4" w:space="0"/>
              <w:left w:val="single" w:color="auto" w:sz="4" w:space="0"/>
              <w:bottom w:val="single" w:color="auto" w:sz="4" w:space="0"/>
              <w:right w:val="single" w:color="auto" w:sz="4" w:space="0"/>
            </w:tcBorders>
            <w:shd w:val="clear" w:color="auto" w:fill="auto"/>
          </w:tcPr>
          <w:p w14:paraId="571D60B6">
            <w:pPr>
              <w:spacing w:after="0" w:line="240" w:lineRule="auto"/>
              <w:ind w:left="-113" w:right="-88"/>
              <w:jc w:val="center"/>
              <w:rPr>
                <w:rFonts w:ascii="Times New Roman" w:hAnsi="Times New Roman" w:eastAsia="Calibri" w:cs="Times New Roman"/>
                <w:sz w:val="20"/>
                <w:szCs w:val="20"/>
              </w:rPr>
            </w:pPr>
            <w:r>
              <w:rPr>
                <w:rFonts w:ascii="Times New Roman" w:hAnsi="Times New Roman" w:eastAsia="Calibri" w:cs="Times New Roman"/>
                <w:sz w:val="20"/>
                <w:szCs w:val="20"/>
              </w:rPr>
              <w:t>не более 300,00</w:t>
            </w:r>
          </w:p>
        </w:tc>
        <w:tc>
          <w:tcPr>
            <w:tcW w:w="1951" w:type="dxa"/>
            <w:tcBorders>
              <w:top w:val="single" w:color="auto" w:sz="4" w:space="0"/>
              <w:left w:val="single" w:color="auto" w:sz="4" w:space="0"/>
              <w:bottom w:val="single" w:color="auto" w:sz="4" w:space="0"/>
              <w:right w:val="single" w:color="auto" w:sz="4" w:space="0"/>
            </w:tcBorders>
          </w:tcPr>
          <w:p w14:paraId="1D13FBEA">
            <w:pPr>
              <w:spacing w:after="0" w:line="240" w:lineRule="auto"/>
              <w:ind w:left="-113" w:right="-88"/>
              <w:jc w:val="center"/>
              <w:rPr>
                <w:rFonts w:ascii="Times New Roman" w:hAnsi="Times New Roman" w:eastAsia="Calibri" w:cs="Times New Roman"/>
                <w:sz w:val="20"/>
                <w:szCs w:val="20"/>
              </w:rPr>
            </w:pPr>
            <w:r>
              <w:rPr>
                <w:rFonts w:ascii="Times New Roman" w:hAnsi="Times New Roman" w:eastAsia="Calibri" w:cs="Times New Roman"/>
                <w:sz w:val="20"/>
                <w:szCs w:val="20"/>
              </w:rPr>
              <w:t>не более 300,00</w:t>
            </w:r>
          </w:p>
        </w:tc>
        <w:tc>
          <w:tcPr>
            <w:tcW w:w="1736" w:type="dxa"/>
            <w:tcBorders>
              <w:top w:val="single" w:color="auto" w:sz="4" w:space="0"/>
              <w:left w:val="single" w:color="auto" w:sz="4" w:space="0"/>
              <w:bottom w:val="single" w:color="auto" w:sz="4" w:space="0"/>
              <w:right w:val="single" w:color="auto" w:sz="4" w:space="0"/>
            </w:tcBorders>
          </w:tcPr>
          <w:p w14:paraId="22B3F2A9">
            <w:pPr>
              <w:spacing w:after="0" w:line="240" w:lineRule="auto"/>
              <w:ind w:left="-113" w:right="-88"/>
              <w:jc w:val="center"/>
              <w:rPr>
                <w:rFonts w:ascii="Times New Roman" w:hAnsi="Times New Roman" w:eastAsia="Calibri" w:cs="Times New Roman"/>
                <w:sz w:val="20"/>
                <w:szCs w:val="20"/>
              </w:rPr>
            </w:pPr>
            <w:r>
              <w:rPr>
                <w:rFonts w:ascii="Times New Roman" w:hAnsi="Times New Roman" w:eastAsia="Calibri" w:cs="Times New Roman"/>
                <w:sz w:val="20"/>
                <w:szCs w:val="20"/>
              </w:rPr>
              <w:t>не более 300,00</w:t>
            </w:r>
          </w:p>
        </w:tc>
        <w:tc>
          <w:tcPr>
            <w:tcW w:w="1734" w:type="dxa"/>
            <w:tcBorders>
              <w:top w:val="single" w:color="auto" w:sz="4" w:space="0"/>
              <w:left w:val="single" w:color="auto" w:sz="4" w:space="0"/>
              <w:bottom w:val="single" w:color="auto" w:sz="4" w:space="0"/>
              <w:right w:val="single" w:color="auto" w:sz="4" w:space="0"/>
            </w:tcBorders>
            <w:shd w:val="clear" w:color="auto" w:fill="auto"/>
          </w:tcPr>
          <w:p w14:paraId="6C710F24">
            <w:pPr>
              <w:spacing w:after="0" w:line="240" w:lineRule="auto"/>
              <w:ind w:left="-113" w:right="-88"/>
              <w:jc w:val="center"/>
              <w:rPr>
                <w:rFonts w:ascii="Times New Roman" w:hAnsi="Times New Roman" w:eastAsia="Calibri" w:cs="Times New Roman"/>
                <w:sz w:val="20"/>
                <w:szCs w:val="20"/>
              </w:rPr>
            </w:pPr>
            <w:r>
              <w:rPr>
                <w:rFonts w:ascii="Times New Roman" w:hAnsi="Times New Roman" w:eastAsia="Calibri" w:cs="Times New Roman"/>
                <w:sz w:val="20"/>
                <w:szCs w:val="20"/>
              </w:rPr>
              <w:t>не более 300,00</w:t>
            </w:r>
          </w:p>
        </w:tc>
        <w:tc>
          <w:tcPr>
            <w:tcW w:w="2168" w:type="dxa"/>
            <w:tcBorders>
              <w:top w:val="single" w:color="auto" w:sz="4" w:space="0"/>
              <w:left w:val="single" w:color="auto" w:sz="4" w:space="0"/>
              <w:bottom w:val="single" w:color="auto" w:sz="4" w:space="0"/>
              <w:right w:val="single" w:color="auto" w:sz="4" w:space="0"/>
            </w:tcBorders>
            <w:shd w:val="clear" w:color="auto" w:fill="auto"/>
          </w:tcPr>
          <w:p w14:paraId="485EB870">
            <w:pPr>
              <w:spacing w:after="0" w:line="240" w:lineRule="auto"/>
              <w:ind w:left="-113" w:right="-88"/>
              <w:jc w:val="center"/>
              <w:rPr>
                <w:rFonts w:ascii="Times New Roman" w:hAnsi="Times New Roman" w:eastAsia="Calibri" w:cs="Times New Roman"/>
                <w:sz w:val="20"/>
                <w:szCs w:val="20"/>
              </w:rPr>
            </w:pPr>
            <w:r>
              <w:rPr>
                <w:rFonts w:ascii="Times New Roman" w:hAnsi="Times New Roman" w:eastAsia="Calibri" w:cs="Times New Roman"/>
                <w:sz w:val="20"/>
                <w:szCs w:val="20"/>
              </w:rPr>
              <w:t>не более 300,00</w:t>
            </w:r>
          </w:p>
        </w:tc>
        <w:tc>
          <w:tcPr>
            <w:tcW w:w="1951" w:type="dxa"/>
            <w:tcBorders>
              <w:top w:val="single" w:color="auto" w:sz="4" w:space="0"/>
              <w:left w:val="single" w:color="auto" w:sz="4" w:space="0"/>
              <w:bottom w:val="single" w:color="auto" w:sz="4" w:space="0"/>
              <w:right w:val="single" w:color="auto" w:sz="4" w:space="0"/>
            </w:tcBorders>
          </w:tcPr>
          <w:p w14:paraId="74D66AF0">
            <w:pPr>
              <w:spacing w:after="0" w:line="240" w:lineRule="auto"/>
              <w:ind w:left="-113" w:right="-88"/>
              <w:jc w:val="center"/>
              <w:rPr>
                <w:rFonts w:ascii="Times New Roman" w:hAnsi="Times New Roman" w:eastAsia="Calibri" w:cs="Times New Roman"/>
                <w:sz w:val="20"/>
                <w:szCs w:val="20"/>
              </w:rPr>
            </w:pPr>
            <w:r>
              <w:rPr>
                <w:rFonts w:ascii="Times New Roman" w:hAnsi="Times New Roman" w:eastAsia="Calibri" w:cs="Times New Roman"/>
                <w:sz w:val="20"/>
                <w:szCs w:val="20"/>
              </w:rPr>
              <w:t>не более 300,00</w:t>
            </w:r>
          </w:p>
        </w:tc>
      </w:tr>
    </w:tbl>
    <w:p w14:paraId="5F3362C3">
      <w:pPr>
        <w:rPr>
          <w:rFonts w:ascii="Times New Roman" w:hAnsi="Times New Roman" w:eastAsia="Times New Roman" w:cs="Times New Roman"/>
          <w:color w:val="FF0000"/>
          <w:sz w:val="28"/>
          <w:szCs w:val="28"/>
          <w:lang w:eastAsia="ru-RU"/>
        </w:rPr>
      </w:pPr>
    </w:p>
    <w:p w14:paraId="688C7DD8">
      <w:pPr>
        <w:pStyle w:val="8"/>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*Количество телефонов, радиотелефонов и аккумуляторов к радиотелефонам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учреждения. Приобретение производится с целью замены неисправных, а также подлежащих списанию неисправных телефонов и радиотелефонов. Допускается приобретение телефонов, радиотелефонов и аккумуляторов к ним для создания резерва с целью обеспечения непрерывности работы из расчета в год не менее 5% от общего количества телефонов и радиотелефонов.</w:t>
      </w:r>
    </w:p>
    <w:p w14:paraId="68B6962E">
      <w:pPr>
        <w:pStyle w:val="8"/>
        <w:spacing w:line="360" w:lineRule="auto"/>
        <w:ind w:firstLine="709"/>
        <w:jc w:val="both"/>
        <w:rPr>
          <w:rFonts w:ascii="Times New Roman" w:hAnsi="Times New Roman" w:cs="Times New Roman"/>
          <w:sz w:val="28"/>
          <w:szCs w:val="28"/>
        </w:rPr>
      </w:pPr>
    </w:p>
    <w:p w14:paraId="5160ADCD">
      <w:pPr>
        <w:rPr>
          <w:rFonts w:ascii="Times New Roman" w:hAnsi="Times New Roman" w:eastAsia="Times New Roman" w:cs="Times New Roman"/>
          <w:sz w:val="28"/>
          <w:szCs w:val="28"/>
          <w:lang w:eastAsia="ru-RU"/>
        </w:rPr>
      </w:pPr>
    </w:p>
    <w:p w14:paraId="04F87EF2">
      <w:pPr>
        <w:rPr>
          <w:rFonts w:ascii="Times New Roman" w:hAnsi="Times New Roman" w:eastAsia="Times New Roman" w:cs="Times New Roman"/>
          <w:sz w:val="28"/>
          <w:szCs w:val="28"/>
          <w:lang w:eastAsia="ru-RU"/>
        </w:rPr>
      </w:pPr>
    </w:p>
    <w:p w14:paraId="615B5548">
      <w:pPr>
        <w:rPr>
          <w:rFonts w:ascii="Times New Roman" w:hAnsi="Times New Roman" w:eastAsia="Times New Roman" w:cs="Times New Roman"/>
          <w:sz w:val="28"/>
          <w:szCs w:val="28"/>
          <w:lang w:eastAsia="ru-RU"/>
        </w:rPr>
        <w:sectPr>
          <w:pgSz w:w="16838" w:h="11906" w:orient="landscape"/>
          <w:pgMar w:top="1588" w:right="1418" w:bottom="567" w:left="1134" w:header="567" w:footer="709" w:gutter="0"/>
          <w:cols w:space="708" w:num="1"/>
          <w:titlePg/>
          <w:docGrid w:linePitch="360" w:charSpace="0"/>
        </w:sectPr>
      </w:pPr>
    </w:p>
    <w:p w14:paraId="3579A4D3">
      <w:pPr>
        <w:autoSpaceDE w:val="0"/>
        <w:autoSpaceDN w:val="0"/>
        <w:adjustRightInd w:val="0"/>
        <w:spacing w:after="0" w:line="240" w:lineRule="auto"/>
        <w:ind w:firstLine="540"/>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4.7.</w:t>
      </w:r>
      <w:r>
        <w:rPr>
          <w:rFonts w:ascii="Times New Roman" w:hAnsi="Times New Roman" w:eastAsia="Times New Roman" w:cs="Times New Roman"/>
          <w:sz w:val="28"/>
          <w:szCs w:val="28"/>
          <w:lang w:eastAsia="ru-RU"/>
        </w:rPr>
        <w:tab/>
      </w:r>
      <w:r>
        <w:rPr>
          <w:rFonts w:ascii="Times New Roman" w:hAnsi="Times New Roman" w:eastAsia="Times New Roman" w:cs="Times New Roman"/>
          <w:sz w:val="28"/>
          <w:szCs w:val="28"/>
          <w:lang w:eastAsia="ru-RU"/>
        </w:rPr>
        <w:t xml:space="preserve">Затраты на приобретение серверов, сетевых хранилищ и сетевого оборудования </w:t>
      </w:r>
      <m:oMath>
        <m:sSub>
          <m:sSubPr>
            <m:ctrlPr>
              <w:rPr>
                <w:rFonts w:ascii="Cambria Math" w:hAnsi="Cambria Math" w:eastAsia="Times New Roman" w:cs="Times New Roman"/>
                <w:sz w:val="28"/>
                <w:szCs w:val="28"/>
                <w:lang w:eastAsia="ru-RU"/>
              </w:rPr>
            </m:ctrlPr>
          </m:sSubPr>
          <m:e>
            <m:r>
              <m:rPr>
                <m:sty m:val="p"/>
              </m:rPr>
              <w:rPr>
                <w:rFonts w:ascii="Cambria Math" w:hAnsi="Cambria Math" w:eastAsia="Times New Roman" w:cs="Times New Roman"/>
                <w:sz w:val="28"/>
                <w:szCs w:val="28"/>
                <w:lang w:eastAsia="ru-RU"/>
              </w:rPr>
              <m:t>(З</m:t>
            </m:r>
            <m:ctrlPr>
              <w:rPr>
                <w:rFonts w:ascii="Cambria Math" w:hAnsi="Cambria Math" w:eastAsia="Times New Roman" w:cs="Times New Roman"/>
                <w:sz w:val="28"/>
                <w:szCs w:val="28"/>
                <w:lang w:eastAsia="ru-RU"/>
              </w:rPr>
            </m:ctrlPr>
          </m:e>
          <m:sub>
            <m:r>
              <m:rPr>
                <m:sty m:val="p"/>
              </m:rPr>
              <w:rPr>
                <w:rFonts w:ascii="Cambria Math" w:hAnsi="Cambria Math" w:eastAsia="Times New Roman" w:cs="Times New Roman"/>
                <w:sz w:val="28"/>
                <w:szCs w:val="28"/>
                <w:lang w:eastAsia="ru-RU"/>
              </w:rPr>
              <m:t>со</m:t>
            </m:r>
            <m:ctrlPr>
              <w:rPr>
                <w:rFonts w:ascii="Cambria Math" w:hAnsi="Cambria Math" w:eastAsia="Times New Roman" w:cs="Times New Roman"/>
                <w:sz w:val="28"/>
                <w:szCs w:val="28"/>
                <w:lang w:eastAsia="ru-RU"/>
              </w:rPr>
            </m:ctrlPr>
          </m:sub>
        </m:sSub>
      </m:oMath>
      <w:r>
        <w:rPr>
          <w:rFonts w:ascii="Times New Roman" w:hAnsi="Times New Roman" w:eastAsia="Times New Roman" w:cs="Times New Roman"/>
          <w:sz w:val="28"/>
          <w:szCs w:val="28"/>
          <w:lang w:eastAsia="ru-RU"/>
        </w:rPr>
        <w:t>) определяются по формуле:</w:t>
      </w:r>
    </w:p>
    <w:p w14:paraId="16B4F0EC">
      <w:pPr>
        <w:widowControl w:val="0"/>
        <w:autoSpaceDE w:val="0"/>
        <w:autoSpaceDN w:val="0"/>
        <w:adjustRightInd w:val="0"/>
        <w:spacing w:after="0" w:line="240" w:lineRule="auto"/>
        <w:jc w:val="center"/>
        <w:rPr>
          <w:rFonts w:ascii="Times New Roman" w:hAnsi="Times New Roman" w:eastAsia="Times New Roman" w:cs="Times New Roman"/>
          <w:sz w:val="28"/>
          <w:szCs w:val="28"/>
          <w:lang w:eastAsia="ru-RU"/>
        </w:rPr>
      </w:pPr>
      <m:oMathPara>
        <m:oMath>
          <m:sSub>
            <m:sSubPr>
              <m:ctrlPr>
                <w:rPr>
                  <w:rFonts w:ascii="Cambria Math" w:hAnsi="Cambria Math" w:eastAsia="Times New Roman" w:cs="Times New Roman"/>
                  <w:sz w:val="28"/>
                  <w:szCs w:val="28"/>
                  <w:lang w:eastAsia="ru-RU"/>
                </w:rPr>
              </m:ctrlPr>
            </m:sSubPr>
            <m:e>
              <m:r>
                <m:rPr>
                  <m:sty m:val="p"/>
                </m:rPr>
                <w:rPr>
                  <w:rFonts w:ascii="Cambria Math" w:hAnsi="Cambria Math" w:eastAsia="Times New Roman" w:cs="Times New Roman"/>
                  <w:sz w:val="28"/>
                  <w:szCs w:val="28"/>
                  <w:lang w:eastAsia="ru-RU"/>
                </w:rPr>
                <m:t>З</m:t>
              </m:r>
              <m:ctrlPr>
                <w:rPr>
                  <w:rFonts w:ascii="Cambria Math" w:hAnsi="Cambria Math" w:eastAsia="Times New Roman" w:cs="Times New Roman"/>
                  <w:sz w:val="28"/>
                  <w:szCs w:val="28"/>
                  <w:lang w:eastAsia="ru-RU"/>
                </w:rPr>
              </m:ctrlPr>
            </m:e>
            <m:sub>
              <m:r>
                <m:rPr>
                  <m:sty m:val="p"/>
                </m:rPr>
                <w:rPr>
                  <w:rFonts w:ascii="Cambria Math" w:hAnsi="Cambria Math" w:eastAsia="Times New Roman" w:cs="Times New Roman"/>
                  <w:sz w:val="28"/>
                  <w:szCs w:val="28"/>
                  <w:lang w:eastAsia="ru-RU"/>
                </w:rPr>
                <m:t>со</m:t>
              </m:r>
              <m:ctrlPr>
                <w:rPr>
                  <w:rFonts w:ascii="Cambria Math" w:hAnsi="Cambria Math" w:eastAsia="Times New Roman" w:cs="Times New Roman"/>
                  <w:sz w:val="28"/>
                  <w:szCs w:val="28"/>
                  <w:lang w:eastAsia="ru-RU"/>
                </w:rPr>
              </m:ctrlPr>
            </m:sub>
          </m:sSub>
          <m:r>
            <m:rPr>
              <m:sty m:val="p"/>
            </m:rPr>
            <w:rPr>
              <w:rFonts w:ascii="Cambria Math" w:hAnsi="Cambria Math" w:eastAsia="Times New Roman" w:cs="Times New Roman"/>
              <w:sz w:val="28"/>
              <w:szCs w:val="28"/>
              <w:lang w:eastAsia="ru-RU"/>
            </w:rPr>
            <m:t>=</m:t>
          </m:r>
          <m:nary>
            <m:naryPr>
              <m:chr m:val="∑"/>
              <m:limLoc m:val="subSup"/>
              <m:ctrlPr>
                <w:rPr>
                  <w:rFonts w:ascii="Cambria Math" w:hAnsi="Cambria Math" w:eastAsia="Times New Roman" w:cs="Times New Roman"/>
                  <w:sz w:val="28"/>
                  <w:szCs w:val="28"/>
                  <w:lang w:eastAsia="ru-RU"/>
                </w:rPr>
              </m:ctrlPr>
            </m:naryPr>
            <m:sub>
              <m:r>
                <m:rPr/>
                <w:rPr>
                  <w:rFonts w:ascii="Cambria Math" w:hAnsi="Cambria Math" w:eastAsia="Times New Roman" w:cs="Times New Roman"/>
                  <w:sz w:val="28"/>
                  <w:szCs w:val="28"/>
                  <w:lang w:eastAsia="ru-RU"/>
                </w:rPr>
                <m:t>i</m:t>
              </m:r>
              <m:r>
                <m:rPr>
                  <m:sty m:val="p"/>
                </m:rPr>
                <w:rPr>
                  <w:rFonts w:ascii="Cambria Math" w:hAnsi="Cambria Math" w:eastAsia="Times New Roman" w:cs="Times New Roman"/>
                  <w:sz w:val="28"/>
                  <w:szCs w:val="28"/>
                  <w:lang w:eastAsia="ru-RU"/>
                </w:rPr>
                <m:t>=1</m:t>
              </m:r>
              <m:ctrlPr>
                <w:rPr>
                  <w:rFonts w:ascii="Cambria Math" w:hAnsi="Cambria Math" w:eastAsia="Times New Roman" w:cs="Times New Roman"/>
                  <w:sz w:val="28"/>
                  <w:szCs w:val="28"/>
                  <w:lang w:eastAsia="ru-RU"/>
                </w:rPr>
              </m:ctrlPr>
            </m:sub>
            <m:sup>
              <m:r>
                <m:rPr/>
                <w:rPr>
                  <w:rFonts w:ascii="Cambria Math" w:hAnsi="Cambria Math" w:eastAsia="Times New Roman" w:cs="Times New Roman"/>
                  <w:sz w:val="28"/>
                  <w:szCs w:val="28"/>
                  <w:lang w:eastAsia="ru-RU"/>
                </w:rPr>
                <m:t>n</m:t>
              </m:r>
              <m:ctrlPr>
                <w:rPr>
                  <w:rFonts w:ascii="Cambria Math" w:hAnsi="Cambria Math" w:eastAsia="Times New Roman" w:cs="Times New Roman"/>
                  <w:sz w:val="28"/>
                  <w:szCs w:val="28"/>
                  <w:lang w:eastAsia="ru-RU"/>
                </w:rPr>
              </m:ctrlPr>
            </m:sup>
            <m:e>
              <m:r>
                <m:rPr>
                  <m:sty m:val="p"/>
                </m:rPr>
                <w:rPr>
                  <w:rFonts w:ascii="Cambria Math" w:hAnsi="Cambria Math" w:eastAsia="Times New Roman" w:cs="Times New Roman"/>
                  <w:sz w:val="28"/>
                  <w:szCs w:val="28"/>
                  <w:lang w:eastAsia="ru-RU"/>
                </w:rPr>
                <m:t>Qi со×</m:t>
              </m:r>
              <m:sSub>
                <m:sSubPr>
                  <m:ctrlPr>
                    <w:rPr>
                      <w:rFonts w:ascii="Cambria Math" w:hAnsi="Cambria Math" w:eastAsia="Times New Roman" w:cs="Times New Roman"/>
                      <w:sz w:val="28"/>
                      <w:szCs w:val="28"/>
                      <w:lang w:eastAsia="ru-RU"/>
                    </w:rPr>
                  </m:ctrlPr>
                </m:sSubPr>
                <m:e>
                  <m:r>
                    <m:rPr>
                      <m:sty m:val="p"/>
                    </m:rPr>
                    <w:rPr>
                      <w:rFonts w:ascii="Cambria Math" w:hAnsi="Cambria Math" w:eastAsia="Times New Roman" w:cs="Times New Roman"/>
                      <w:sz w:val="28"/>
                      <w:szCs w:val="28"/>
                      <w:lang w:eastAsia="ru-RU"/>
                    </w:rPr>
                    <m:t>P</m:t>
                  </m:r>
                  <m:ctrlPr>
                    <w:rPr>
                      <w:rFonts w:ascii="Cambria Math" w:hAnsi="Cambria Math" w:eastAsia="Times New Roman" w:cs="Times New Roman"/>
                      <w:sz w:val="28"/>
                      <w:szCs w:val="28"/>
                      <w:lang w:eastAsia="ru-RU"/>
                    </w:rPr>
                  </m:ctrlPr>
                </m:e>
                <m:sub>
                  <m:r>
                    <m:rPr>
                      <m:sty m:val="p"/>
                    </m:rPr>
                    <w:rPr>
                      <w:rFonts w:ascii="Cambria Math" w:hAnsi="Cambria Math" w:eastAsia="Times New Roman" w:cs="Times New Roman"/>
                      <w:sz w:val="28"/>
                      <w:szCs w:val="28"/>
                      <w:lang w:eastAsia="ru-RU"/>
                    </w:rPr>
                    <m:t>i со</m:t>
                  </m:r>
                  <m:ctrlPr>
                    <w:rPr>
                      <w:rFonts w:ascii="Cambria Math" w:hAnsi="Cambria Math" w:eastAsia="Times New Roman" w:cs="Times New Roman"/>
                      <w:sz w:val="28"/>
                      <w:szCs w:val="28"/>
                      <w:lang w:eastAsia="ru-RU"/>
                    </w:rPr>
                  </m:ctrlPr>
                </m:sub>
              </m:sSub>
              <m:ctrlPr>
                <w:rPr>
                  <w:rFonts w:ascii="Cambria Math" w:hAnsi="Cambria Math" w:eastAsia="Times New Roman" w:cs="Times New Roman"/>
                  <w:sz w:val="28"/>
                  <w:szCs w:val="28"/>
                  <w:lang w:eastAsia="ru-RU"/>
                </w:rPr>
              </m:ctrlPr>
            </m:e>
          </m:nary>
          <m:r>
            <m:rPr>
              <m:sty m:val="p"/>
            </m:rPr>
            <w:rPr>
              <w:rFonts w:ascii="Cambria Math" w:hAnsi="Cambria Math" w:eastAsia="Times New Roman" w:cs="Times New Roman"/>
              <w:sz w:val="28"/>
              <w:szCs w:val="28"/>
              <w:lang w:eastAsia="ru-RU"/>
            </w:rPr>
            <m:t xml:space="preserve"> , где:</m:t>
          </m:r>
        </m:oMath>
      </m:oMathPara>
    </w:p>
    <w:p w14:paraId="368B3F0A">
      <w:pPr>
        <w:autoSpaceDE w:val="0"/>
        <w:autoSpaceDN w:val="0"/>
        <w:adjustRightInd w:val="0"/>
        <w:spacing w:after="0" w:line="240" w:lineRule="auto"/>
        <w:ind w:firstLine="540"/>
        <w:jc w:val="both"/>
        <w:rPr>
          <w:rFonts w:ascii="Times New Roman" w:hAnsi="Times New Roman" w:eastAsia="Times New Roman" w:cs="Times New Roman"/>
          <w:sz w:val="28"/>
          <w:szCs w:val="28"/>
          <w:lang w:eastAsia="ru-RU"/>
        </w:rPr>
      </w:pPr>
    </w:p>
    <w:p w14:paraId="16FE2A0B">
      <w:pPr>
        <w:autoSpaceDE w:val="0"/>
        <w:autoSpaceDN w:val="0"/>
        <w:adjustRightInd w:val="0"/>
        <w:spacing w:after="0" w:line="240" w:lineRule="auto"/>
        <w:ind w:firstLine="540"/>
        <w:jc w:val="both"/>
        <w:rPr>
          <w:rFonts w:ascii="Times New Roman" w:hAnsi="Times New Roman" w:eastAsia="Times New Roman" w:cs="Times New Roman"/>
          <w:sz w:val="28"/>
          <w:szCs w:val="28"/>
          <w:lang w:eastAsia="ru-RU"/>
        </w:rPr>
      </w:pPr>
      <m:oMath>
        <m:sSub>
          <m:sSubPr>
            <m:ctrlPr>
              <w:rPr>
                <w:rFonts w:ascii="Cambria Math" w:hAnsi="Cambria Math" w:eastAsia="Times New Roman" w:cs="Times New Roman"/>
                <w:sz w:val="28"/>
                <w:szCs w:val="28"/>
                <w:lang w:eastAsia="ru-RU"/>
              </w:rPr>
            </m:ctrlPr>
          </m:sSubPr>
          <m:e>
            <m:r>
              <m:rPr>
                <m:sty m:val="p"/>
              </m:rPr>
              <w:rPr>
                <w:rFonts w:ascii="Cambria Math" w:hAnsi="Cambria Math" w:eastAsia="Times New Roman" w:cs="Times New Roman"/>
                <w:sz w:val="28"/>
                <w:szCs w:val="28"/>
                <w:lang w:eastAsia="ru-RU"/>
              </w:rPr>
              <m:t>Q</m:t>
            </m:r>
            <m:ctrlPr>
              <w:rPr>
                <w:rFonts w:ascii="Cambria Math" w:hAnsi="Cambria Math" w:eastAsia="Times New Roman" w:cs="Times New Roman"/>
                <w:sz w:val="28"/>
                <w:szCs w:val="28"/>
                <w:lang w:eastAsia="ru-RU"/>
              </w:rPr>
            </m:ctrlPr>
          </m:e>
          <m:sub>
            <m:r>
              <m:rPr>
                <m:sty m:val="p"/>
              </m:rPr>
              <w:rPr>
                <w:rFonts w:ascii="Cambria Math" w:hAnsi="Cambria Math" w:eastAsia="Times New Roman" w:cs="Times New Roman"/>
                <w:sz w:val="28"/>
                <w:szCs w:val="28"/>
                <w:lang w:eastAsia="ru-RU"/>
              </w:rPr>
              <m:t xml:space="preserve">i со </m:t>
            </m:r>
            <m:ctrlPr>
              <w:rPr>
                <w:rFonts w:ascii="Cambria Math" w:hAnsi="Cambria Math" w:eastAsia="Times New Roman" w:cs="Times New Roman"/>
                <w:sz w:val="28"/>
                <w:szCs w:val="28"/>
                <w:lang w:eastAsia="ru-RU"/>
              </w:rPr>
            </m:ctrlPr>
          </m:sub>
        </m:sSub>
      </m:oMath>
      <w:r>
        <w:rPr>
          <w:rFonts w:ascii="Times New Roman" w:hAnsi="Times New Roman" w:eastAsia="Times New Roman" w:cs="Times New Roman"/>
          <w:sz w:val="28"/>
          <w:szCs w:val="28"/>
          <w:lang w:eastAsia="ru-RU"/>
        </w:rPr>
        <w:t xml:space="preserve"> - количество i-го типа серверов, сетевых хранилищ, сетевого оборудования;</w:t>
      </w:r>
    </w:p>
    <w:p w14:paraId="2F9F9F72">
      <w:pPr>
        <w:autoSpaceDE w:val="0"/>
        <w:autoSpaceDN w:val="0"/>
        <w:adjustRightInd w:val="0"/>
        <w:spacing w:after="0" w:line="240" w:lineRule="auto"/>
        <w:ind w:firstLine="540"/>
        <w:jc w:val="both"/>
        <w:rPr>
          <w:rFonts w:ascii="Times New Roman" w:hAnsi="Times New Roman" w:eastAsia="Times New Roman" w:cs="Times New Roman"/>
          <w:sz w:val="28"/>
          <w:szCs w:val="28"/>
          <w:lang w:eastAsia="ru-RU"/>
        </w:rPr>
      </w:pPr>
      <m:oMath>
        <m:sSub>
          <m:sSubPr>
            <m:ctrlPr>
              <w:rPr>
                <w:rFonts w:ascii="Cambria Math" w:hAnsi="Cambria Math" w:eastAsia="Times New Roman" w:cs="Times New Roman"/>
                <w:sz w:val="28"/>
                <w:szCs w:val="28"/>
                <w:lang w:eastAsia="ru-RU"/>
              </w:rPr>
            </m:ctrlPr>
          </m:sSubPr>
          <m:e>
            <m:r>
              <m:rPr>
                <m:sty m:val="p"/>
              </m:rPr>
              <w:rPr>
                <w:rFonts w:ascii="Cambria Math" w:hAnsi="Cambria Math" w:eastAsia="Times New Roman" w:cs="Times New Roman"/>
                <w:sz w:val="28"/>
                <w:szCs w:val="28"/>
                <w:lang w:eastAsia="ru-RU"/>
              </w:rPr>
              <m:t>P</m:t>
            </m:r>
            <m:ctrlPr>
              <w:rPr>
                <w:rFonts w:ascii="Cambria Math" w:hAnsi="Cambria Math" w:eastAsia="Times New Roman" w:cs="Times New Roman"/>
                <w:sz w:val="28"/>
                <w:szCs w:val="28"/>
                <w:lang w:eastAsia="ru-RU"/>
              </w:rPr>
            </m:ctrlPr>
          </m:e>
          <m:sub>
            <m:r>
              <m:rPr>
                <m:sty m:val="p"/>
              </m:rPr>
              <w:rPr>
                <w:rFonts w:ascii="Cambria Math" w:hAnsi="Cambria Math" w:eastAsia="Times New Roman" w:cs="Times New Roman"/>
                <w:sz w:val="28"/>
                <w:szCs w:val="28"/>
                <w:lang w:eastAsia="ru-RU"/>
              </w:rPr>
              <m:t>i со</m:t>
            </m:r>
            <m:ctrlPr>
              <w:rPr>
                <w:rFonts w:ascii="Cambria Math" w:hAnsi="Cambria Math" w:eastAsia="Times New Roman" w:cs="Times New Roman"/>
                <w:sz w:val="28"/>
                <w:szCs w:val="28"/>
                <w:lang w:eastAsia="ru-RU"/>
              </w:rPr>
            </m:ctrlPr>
          </m:sub>
        </m:sSub>
      </m:oMath>
      <w:r>
        <w:rPr>
          <w:rFonts w:ascii="Times New Roman" w:hAnsi="Times New Roman" w:eastAsia="Times New Roman" w:cs="Times New Roman"/>
          <w:sz w:val="28"/>
          <w:szCs w:val="28"/>
          <w:lang w:eastAsia="ru-RU"/>
        </w:rPr>
        <w:t xml:space="preserve"> - цена 1 i-го типа сервера, сетевого хранилища, сетевого оборудования.</w:t>
      </w:r>
    </w:p>
    <w:p w14:paraId="19B49BC7">
      <w:pPr>
        <w:autoSpaceDE w:val="0"/>
        <w:autoSpaceDN w:val="0"/>
        <w:adjustRightInd w:val="0"/>
        <w:spacing w:before="120" w:after="0" w:line="240" w:lineRule="auto"/>
        <w:ind w:firstLine="53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Нормативные затраты серверов, сетевых хранилищ, сетевого оборудования определяется в соответствии с таблицей №19.</w:t>
      </w:r>
    </w:p>
    <w:p w14:paraId="40C8E015">
      <w:pPr>
        <w:widowControl w:val="0"/>
        <w:autoSpaceDE w:val="0"/>
        <w:autoSpaceDN w:val="0"/>
        <w:spacing w:after="0" w:line="360" w:lineRule="auto"/>
        <w:ind w:right="-456" w:firstLine="709"/>
        <w:jc w:val="center"/>
        <w:rPr>
          <w:rFonts w:ascii="Times New Roman" w:hAnsi="Times New Roman" w:cs="Times New Roman"/>
          <w:sz w:val="28"/>
          <w:szCs w:val="28"/>
        </w:rPr>
      </w:pPr>
      <w:r>
        <w:rPr>
          <w:rFonts w:ascii="Times New Roman" w:hAnsi="Times New Roman" w:cs="Times New Roman"/>
          <w:sz w:val="28"/>
          <w:szCs w:val="28"/>
        </w:rPr>
        <w:t xml:space="preserve">                                                                                                       Таблица №19</w:t>
      </w:r>
    </w:p>
    <w:tbl>
      <w:tblPr>
        <w:tblStyle w:val="41"/>
        <w:tblW w:w="976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4252"/>
        <w:gridCol w:w="2439"/>
        <w:gridCol w:w="2225"/>
      </w:tblGrid>
      <w:tr w14:paraId="4BE63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51" w:type="dxa"/>
            <w:vAlign w:val="center"/>
          </w:tcPr>
          <w:p w14:paraId="754967B5">
            <w:pPr>
              <w:autoSpaceDE w:val="0"/>
              <w:autoSpaceDN w:val="0"/>
              <w:adjustRightInd w:val="0"/>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п/п</w:t>
            </w:r>
          </w:p>
        </w:tc>
        <w:tc>
          <w:tcPr>
            <w:tcW w:w="4252" w:type="dxa"/>
            <w:vAlign w:val="center"/>
          </w:tcPr>
          <w:p w14:paraId="1C1C820B">
            <w:pPr>
              <w:autoSpaceDE w:val="0"/>
              <w:autoSpaceDN w:val="0"/>
              <w:adjustRightInd w:val="0"/>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Тип устройства</w:t>
            </w:r>
          </w:p>
        </w:tc>
        <w:tc>
          <w:tcPr>
            <w:tcW w:w="2439" w:type="dxa"/>
            <w:vAlign w:val="center"/>
          </w:tcPr>
          <w:p w14:paraId="0CB59A12">
            <w:pPr>
              <w:autoSpaceDE w:val="0"/>
              <w:autoSpaceDN w:val="0"/>
              <w:adjustRightInd w:val="0"/>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Норматив количества (штук)</w:t>
            </w:r>
          </w:p>
        </w:tc>
        <w:tc>
          <w:tcPr>
            <w:tcW w:w="2225" w:type="dxa"/>
            <w:vAlign w:val="center"/>
          </w:tcPr>
          <w:p w14:paraId="2DE44F40">
            <w:pPr>
              <w:autoSpaceDE w:val="0"/>
              <w:autoSpaceDN w:val="0"/>
              <w:adjustRightInd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Норматив цена </w:t>
            </w:r>
          </w:p>
          <w:p w14:paraId="2AC11242">
            <w:pPr>
              <w:autoSpaceDE w:val="0"/>
              <w:autoSpaceDN w:val="0"/>
              <w:adjustRightInd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за единицу, руб.</w:t>
            </w:r>
          </w:p>
        </w:tc>
      </w:tr>
      <w:tr w14:paraId="6CAA9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51" w:type="dxa"/>
            <w:vAlign w:val="center"/>
          </w:tcPr>
          <w:p w14:paraId="59D16BF4">
            <w:pPr>
              <w:autoSpaceDE w:val="0"/>
              <w:autoSpaceDN w:val="0"/>
              <w:adjustRightInd w:val="0"/>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w:t>
            </w:r>
          </w:p>
        </w:tc>
        <w:tc>
          <w:tcPr>
            <w:tcW w:w="4252" w:type="dxa"/>
            <w:vAlign w:val="center"/>
          </w:tcPr>
          <w:p w14:paraId="522757CA">
            <w:pPr>
              <w:autoSpaceDE w:val="0"/>
              <w:autoSpaceDN w:val="0"/>
              <w:adjustRightInd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Сетевой коммутатор</w:t>
            </w:r>
          </w:p>
        </w:tc>
        <w:tc>
          <w:tcPr>
            <w:tcW w:w="2439" w:type="dxa"/>
            <w:vAlign w:val="center"/>
          </w:tcPr>
          <w:p w14:paraId="4A5FCCA7">
            <w:pPr>
              <w:autoSpaceDE w:val="0"/>
              <w:autoSpaceDN w:val="0"/>
              <w:adjustRightInd w:val="0"/>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не более 1</w:t>
            </w:r>
          </w:p>
        </w:tc>
        <w:tc>
          <w:tcPr>
            <w:tcW w:w="2225" w:type="dxa"/>
            <w:vAlign w:val="center"/>
          </w:tcPr>
          <w:p w14:paraId="583B0E90">
            <w:pPr>
              <w:autoSpaceDE w:val="0"/>
              <w:autoSpaceDN w:val="0"/>
              <w:adjustRightInd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не более 20 000,00</w:t>
            </w:r>
          </w:p>
        </w:tc>
      </w:tr>
      <w:tr w14:paraId="63709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51" w:type="dxa"/>
            <w:vAlign w:val="center"/>
          </w:tcPr>
          <w:p w14:paraId="67D87898">
            <w:pPr>
              <w:autoSpaceDE w:val="0"/>
              <w:autoSpaceDN w:val="0"/>
              <w:adjustRightInd w:val="0"/>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w:t>
            </w:r>
          </w:p>
        </w:tc>
        <w:tc>
          <w:tcPr>
            <w:tcW w:w="4252" w:type="dxa"/>
            <w:vAlign w:val="center"/>
          </w:tcPr>
          <w:p w14:paraId="76973B27">
            <w:pPr>
              <w:autoSpaceDE w:val="0"/>
              <w:autoSpaceDN w:val="0"/>
              <w:adjustRightInd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Сервер</w:t>
            </w:r>
          </w:p>
        </w:tc>
        <w:tc>
          <w:tcPr>
            <w:tcW w:w="2439" w:type="dxa"/>
            <w:vAlign w:val="center"/>
          </w:tcPr>
          <w:p w14:paraId="22C54281">
            <w:pPr>
              <w:autoSpaceDE w:val="0"/>
              <w:autoSpaceDN w:val="0"/>
              <w:adjustRightInd w:val="0"/>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не более 1</w:t>
            </w:r>
          </w:p>
        </w:tc>
        <w:tc>
          <w:tcPr>
            <w:tcW w:w="2225" w:type="dxa"/>
            <w:vAlign w:val="center"/>
          </w:tcPr>
          <w:p w14:paraId="049501BE">
            <w:pPr>
              <w:autoSpaceDE w:val="0"/>
              <w:autoSpaceDN w:val="0"/>
              <w:adjustRightInd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не более 150 000,00</w:t>
            </w:r>
          </w:p>
        </w:tc>
      </w:tr>
      <w:tr w14:paraId="6F270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51" w:type="dxa"/>
            <w:vAlign w:val="center"/>
          </w:tcPr>
          <w:p w14:paraId="610D4F44">
            <w:pPr>
              <w:autoSpaceDE w:val="0"/>
              <w:autoSpaceDN w:val="0"/>
              <w:adjustRightInd w:val="0"/>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w:t>
            </w:r>
          </w:p>
        </w:tc>
        <w:tc>
          <w:tcPr>
            <w:tcW w:w="4252" w:type="dxa"/>
            <w:vAlign w:val="center"/>
          </w:tcPr>
          <w:p w14:paraId="56A6CE66">
            <w:pPr>
              <w:autoSpaceDE w:val="0"/>
              <w:autoSpaceDN w:val="0"/>
              <w:adjustRightInd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Сетевой накопитель</w:t>
            </w:r>
          </w:p>
        </w:tc>
        <w:tc>
          <w:tcPr>
            <w:tcW w:w="2439" w:type="dxa"/>
            <w:vAlign w:val="center"/>
          </w:tcPr>
          <w:p w14:paraId="58491212">
            <w:pPr>
              <w:autoSpaceDE w:val="0"/>
              <w:autoSpaceDN w:val="0"/>
              <w:adjustRightInd w:val="0"/>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не более 1</w:t>
            </w:r>
          </w:p>
        </w:tc>
        <w:tc>
          <w:tcPr>
            <w:tcW w:w="2225" w:type="dxa"/>
            <w:vAlign w:val="center"/>
          </w:tcPr>
          <w:p w14:paraId="06470F6A">
            <w:pPr>
              <w:autoSpaceDE w:val="0"/>
              <w:autoSpaceDN w:val="0"/>
              <w:adjustRightInd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Не более 30 000,00</w:t>
            </w:r>
          </w:p>
        </w:tc>
      </w:tr>
    </w:tbl>
    <w:p w14:paraId="3E3CBDAD">
      <w:pPr>
        <w:pStyle w:val="8"/>
        <w:tabs>
          <w:tab w:val="left" w:pos="1740"/>
        </w:tabs>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5. Затрат на приобретение материальных запасов, включающих:</w:t>
      </w:r>
    </w:p>
    <w:p w14:paraId="3B457DC6">
      <w:pPr>
        <w:pStyle w:val="8"/>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5.1. Затраты на приобретение мониторов </w:t>
      </w:r>
      <w:r>
        <w:rPr>
          <w:rFonts w:ascii="Times New Roman" w:hAnsi="Times New Roman" w:cs="Times New Roman"/>
          <w:position w:val="-12"/>
          <w:sz w:val="28"/>
          <w:szCs w:val="28"/>
        </w:rPr>
        <w:drawing>
          <wp:inline distT="0" distB="0" distL="0" distR="0">
            <wp:extent cx="438150" cy="257175"/>
            <wp:effectExtent l="0" t="0" r="0" b="0"/>
            <wp:docPr id="2" name="Рисунок 119" descr="base_23792_85543_572"/>
            <wp:cNvGraphicFramePr/>
            <a:graphic xmlns:a="http://schemas.openxmlformats.org/drawingml/2006/main">
              <a:graphicData uri="http://schemas.openxmlformats.org/drawingml/2006/picture">
                <pic:pic xmlns:pic="http://schemas.openxmlformats.org/drawingml/2006/picture">
                  <pic:nvPicPr>
                    <pic:cNvPr id="2" name="Рисунок 119" descr="base_23792_85543_572"/>
                    <pic:cNvPicPr preferRelativeResize="0">
                      <a:picLocks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73F6EC4B">
      <w:pPr>
        <w:pStyle w:val="8"/>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drawing>
          <wp:inline distT="0" distB="0" distL="0" distR="0">
            <wp:extent cx="1895475" cy="476250"/>
            <wp:effectExtent l="0" t="0" r="0" b="0"/>
            <wp:docPr id="120" name="Рисунок 120" descr="base_23792_85543_573"/>
            <wp:cNvGraphicFramePr/>
            <a:graphic xmlns:a="http://schemas.openxmlformats.org/drawingml/2006/main">
              <a:graphicData uri="http://schemas.openxmlformats.org/drawingml/2006/picture">
                <pic:pic xmlns:pic="http://schemas.openxmlformats.org/drawingml/2006/picture">
                  <pic:nvPicPr>
                    <pic:cNvPr id="120" name="Рисунок 120" descr="base_23792_85543_573"/>
                    <pic:cNvPicPr preferRelativeResize="0">
                      <a:picLocks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a:xfrm>
                      <a:off x="0" y="0"/>
                      <a:ext cx="1895475" cy="476250"/>
                    </a:xfrm>
                    <a:prstGeom prst="rect">
                      <a:avLst/>
                    </a:prstGeom>
                    <a:noFill/>
                    <a:ln>
                      <a:noFill/>
                    </a:ln>
                  </pic:spPr>
                </pic:pic>
              </a:graphicData>
            </a:graphic>
          </wp:inline>
        </w:drawing>
      </w:r>
    </w:p>
    <w:p w14:paraId="62D3F181">
      <w:pPr>
        <w:pStyle w:val="8"/>
        <w:spacing w:line="360" w:lineRule="auto"/>
        <w:ind w:firstLine="709"/>
        <w:jc w:val="both"/>
        <w:rPr>
          <w:rFonts w:ascii="Times New Roman" w:hAnsi="Times New Roman" w:cs="Times New Roman"/>
          <w:sz w:val="28"/>
          <w:szCs w:val="28"/>
        </w:rPr>
      </w:pPr>
      <w:r>
        <w:rPr>
          <w:rFonts w:ascii="Times New Roman" w:hAnsi="Times New Roman" w:cs="Times New Roman"/>
          <w:position w:val="-14"/>
          <w:sz w:val="28"/>
          <w:szCs w:val="28"/>
        </w:rPr>
        <w:drawing>
          <wp:inline distT="0" distB="0" distL="0" distR="0">
            <wp:extent cx="400050" cy="257175"/>
            <wp:effectExtent l="0" t="0" r="0" b="0"/>
            <wp:docPr id="121" name="Рисунок 121" descr="base_23792_85543_574"/>
            <wp:cNvGraphicFramePr/>
            <a:graphic xmlns:a="http://schemas.openxmlformats.org/drawingml/2006/main">
              <a:graphicData uri="http://schemas.openxmlformats.org/drawingml/2006/picture">
                <pic:pic xmlns:pic="http://schemas.openxmlformats.org/drawingml/2006/picture">
                  <pic:nvPicPr>
                    <pic:cNvPr id="121" name="Рисунок 121" descr="base_23792_85543_574"/>
                    <pic:cNvPicPr preferRelativeResize="0">
                      <a:picLocks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мониторов для i-й должности;</w:t>
      </w:r>
    </w:p>
    <w:p w14:paraId="77E4D03B">
      <w:pPr>
        <w:pStyle w:val="8"/>
        <w:spacing w:line="360" w:lineRule="auto"/>
        <w:ind w:firstLine="709"/>
        <w:jc w:val="both"/>
        <w:rPr>
          <w:rFonts w:ascii="Times New Roman" w:hAnsi="Times New Roman" w:cs="Times New Roman"/>
          <w:sz w:val="28"/>
          <w:szCs w:val="28"/>
        </w:rPr>
      </w:pPr>
      <w:r>
        <w:rPr>
          <w:rFonts w:ascii="Times New Roman" w:hAnsi="Times New Roman" w:cs="Times New Roman"/>
          <w:position w:val="-14"/>
          <w:sz w:val="28"/>
          <w:szCs w:val="28"/>
        </w:rPr>
        <w:drawing>
          <wp:inline distT="0" distB="0" distL="0" distR="0">
            <wp:extent cx="352425" cy="257175"/>
            <wp:effectExtent l="0" t="0" r="0" b="0"/>
            <wp:docPr id="122" name="Рисунок 122" descr="base_23792_85543_575"/>
            <wp:cNvGraphicFramePr/>
            <a:graphic xmlns:a="http://schemas.openxmlformats.org/drawingml/2006/main">
              <a:graphicData uri="http://schemas.openxmlformats.org/drawingml/2006/picture">
                <pic:pic xmlns:pic="http://schemas.openxmlformats.org/drawingml/2006/picture">
                  <pic:nvPicPr>
                    <pic:cNvPr id="122" name="Рисунок 122" descr="base_23792_85543_575"/>
                    <pic:cNvPicPr preferRelativeResize="0">
                      <a:picLocks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–цена одного монитора для i-й должности.</w:t>
      </w:r>
    </w:p>
    <w:p w14:paraId="201556A1">
      <w:pPr>
        <w:jc w:val="both"/>
        <w:rPr>
          <w:rFonts w:ascii="Times New Roman" w:hAnsi="Times New Roman" w:cs="Times New Roman"/>
          <w:sz w:val="28"/>
          <w:szCs w:val="28"/>
        </w:rPr>
      </w:pPr>
      <w:r>
        <w:rPr>
          <w:rFonts w:ascii="Times New Roman" w:hAnsi="Times New Roman" w:cs="Times New Roman"/>
          <w:sz w:val="28"/>
          <w:szCs w:val="28"/>
        </w:rPr>
        <w:t xml:space="preserve">       Затраты на приобретение мониторов определяется</w:t>
      </w:r>
      <w:r>
        <w:rPr>
          <w:rFonts w:ascii="Times New Roman" w:hAnsi="Times New Roman" w:eastAsia="Times New Roman" w:cs="Times New Roman"/>
          <w:sz w:val="28"/>
          <w:szCs w:val="28"/>
          <w:lang w:eastAsia="ru-RU"/>
        </w:rPr>
        <w:t xml:space="preserve"> в соответствии с таблицей №20</w:t>
      </w:r>
      <w:r>
        <w:rPr>
          <w:rFonts w:ascii="Times New Roman" w:hAnsi="Times New Roman" w:cs="Times New Roman"/>
          <w:sz w:val="28"/>
          <w:szCs w:val="28"/>
        </w:rPr>
        <w:t>.</w:t>
      </w:r>
    </w:p>
    <w:p w14:paraId="6DA9273E">
      <w:pPr>
        <w:jc w:val="right"/>
        <w:rPr>
          <w:rFonts w:ascii="Times New Roman" w:hAnsi="Times New Roman" w:cs="Times New Roman"/>
          <w:sz w:val="28"/>
          <w:szCs w:val="28"/>
        </w:rPr>
      </w:pPr>
      <w:r>
        <w:rPr>
          <w:rFonts w:ascii="Times New Roman" w:hAnsi="Times New Roman" w:cs="Times New Roman"/>
          <w:sz w:val="28"/>
          <w:szCs w:val="28"/>
        </w:rPr>
        <w:t>Таблица №20</w:t>
      </w:r>
    </w:p>
    <w:tbl>
      <w:tblPr>
        <w:tblStyle w:val="41"/>
        <w:tblW w:w="97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4252"/>
        <w:gridCol w:w="2537"/>
        <w:gridCol w:w="2127"/>
      </w:tblGrid>
      <w:tr w14:paraId="01885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1" w:type="dxa"/>
            <w:vAlign w:val="center"/>
          </w:tcPr>
          <w:p w14:paraId="0D535DAD">
            <w:pPr>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п/п</w:t>
            </w:r>
          </w:p>
        </w:tc>
        <w:tc>
          <w:tcPr>
            <w:tcW w:w="4252" w:type="dxa"/>
            <w:vAlign w:val="center"/>
          </w:tcPr>
          <w:p w14:paraId="523D7BE8">
            <w:pPr>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Тип устройства</w:t>
            </w:r>
          </w:p>
        </w:tc>
        <w:tc>
          <w:tcPr>
            <w:tcW w:w="2537" w:type="dxa"/>
            <w:vAlign w:val="center"/>
          </w:tcPr>
          <w:p w14:paraId="1BC746C1">
            <w:pPr>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Норматив количества (штук)</w:t>
            </w:r>
          </w:p>
        </w:tc>
        <w:tc>
          <w:tcPr>
            <w:tcW w:w="2127" w:type="dxa"/>
            <w:vAlign w:val="center"/>
          </w:tcPr>
          <w:p w14:paraId="46F21AED">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Норматив цена </w:t>
            </w:r>
          </w:p>
          <w:p w14:paraId="50FFD482">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 единицу, руб</w:t>
            </w:r>
          </w:p>
        </w:tc>
      </w:tr>
      <w:tr w14:paraId="71786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1" w:type="dxa"/>
            <w:vAlign w:val="center"/>
          </w:tcPr>
          <w:p w14:paraId="660A3BA4">
            <w:pPr>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c>
          <w:tcPr>
            <w:tcW w:w="4252" w:type="dxa"/>
            <w:vAlign w:val="center"/>
          </w:tcPr>
          <w:p w14:paraId="319EE7A9">
            <w:pPr>
              <w:autoSpaceDE w:val="0"/>
              <w:autoSpaceDN w:val="0"/>
              <w:adjustRightInd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Монитор</w:t>
            </w:r>
          </w:p>
        </w:tc>
        <w:tc>
          <w:tcPr>
            <w:tcW w:w="2537" w:type="dxa"/>
            <w:vAlign w:val="center"/>
          </w:tcPr>
          <w:p w14:paraId="3829FE9C">
            <w:pPr>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не более 1 на сотрудника</w:t>
            </w:r>
          </w:p>
        </w:tc>
        <w:tc>
          <w:tcPr>
            <w:tcW w:w="2127" w:type="dxa"/>
            <w:vAlign w:val="center"/>
          </w:tcPr>
          <w:p w14:paraId="3E1973B3">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не более 30 000,00</w:t>
            </w:r>
          </w:p>
        </w:tc>
      </w:tr>
    </w:tbl>
    <w:p w14:paraId="336F6F6D">
      <w:pPr>
        <w:rPr>
          <w:rFonts w:ascii="Times New Roman" w:hAnsi="Times New Roman" w:eastAsia="Times New Roman" w:cs="Times New Roman"/>
          <w:sz w:val="28"/>
          <w:szCs w:val="28"/>
          <w:lang w:eastAsia="ru-RU"/>
        </w:rPr>
      </w:pPr>
    </w:p>
    <w:p w14:paraId="521D713E">
      <w:pP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*Количество мониторов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учреждения.</w:t>
      </w:r>
    </w:p>
    <w:p w14:paraId="551283A2">
      <w:pPr>
        <w:pStyle w:val="8"/>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5.2. Затраты на приобретение системных блоков, компьютеров в сборе </w:t>
      </w:r>
      <w:r>
        <w:rPr>
          <w:rFonts w:ascii="Times New Roman" w:hAnsi="Times New Roman" w:cs="Times New Roman"/>
          <w:position w:val="-12"/>
          <w:sz w:val="28"/>
          <w:szCs w:val="28"/>
        </w:rPr>
        <w:drawing>
          <wp:inline distT="0" distB="0" distL="0" distR="0">
            <wp:extent cx="371475" cy="257175"/>
            <wp:effectExtent l="0" t="0" r="0" b="0"/>
            <wp:docPr id="123" name="Рисунок 123" descr="base_23792_85543_576"/>
            <wp:cNvGraphicFramePr/>
            <a:graphic xmlns:a="http://schemas.openxmlformats.org/drawingml/2006/main">
              <a:graphicData uri="http://schemas.openxmlformats.org/drawingml/2006/picture">
                <pic:pic xmlns:pic="http://schemas.openxmlformats.org/drawingml/2006/picture">
                  <pic:nvPicPr>
                    <pic:cNvPr id="123" name="Рисунок 123" descr="base_23792_85543_576"/>
                    <pic:cNvPicPr preferRelativeResize="0">
                      <a:picLocks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4250D24A">
      <w:pPr>
        <w:pStyle w:val="8"/>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drawing>
          <wp:inline distT="0" distB="0" distL="0" distR="0">
            <wp:extent cx="1676400" cy="476250"/>
            <wp:effectExtent l="0" t="0" r="0" b="0"/>
            <wp:docPr id="124" name="Рисунок 124" descr="base_23792_85543_577"/>
            <wp:cNvGraphicFramePr/>
            <a:graphic xmlns:a="http://schemas.openxmlformats.org/drawingml/2006/main">
              <a:graphicData uri="http://schemas.openxmlformats.org/drawingml/2006/picture">
                <pic:pic xmlns:pic="http://schemas.openxmlformats.org/drawingml/2006/picture">
                  <pic:nvPicPr>
                    <pic:cNvPr id="124" name="Рисунок 124" descr="base_23792_85543_577"/>
                    <pic:cNvPicPr preferRelativeResize="0">
                      <a:picLocks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a:xfrm>
                      <a:off x="0" y="0"/>
                      <a:ext cx="1676400" cy="476250"/>
                    </a:xfrm>
                    <a:prstGeom prst="rect">
                      <a:avLst/>
                    </a:prstGeom>
                    <a:noFill/>
                    <a:ln>
                      <a:noFill/>
                    </a:ln>
                  </pic:spPr>
                </pic:pic>
              </a:graphicData>
            </a:graphic>
          </wp:inline>
        </w:drawing>
      </w:r>
    </w:p>
    <w:p w14:paraId="31A04510">
      <w:pPr>
        <w:pStyle w:val="8"/>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–количество i-х системных блоков;</w:t>
      </w:r>
    </w:p>
    <w:p w14:paraId="6C864B08">
      <w:pPr>
        <w:pStyle w:val="8"/>
        <w:numPr>
          <w:ilvl w:val="0"/>
          <w:numId w:val="1"/>
        </w:numPr>
        <w:spacing w:line="360" w:lineRule="auto"/>
        <w:jc w:val="both"/>
        <w:rPr>
          <w:rFonts w:ascii="Times New Roman" w:hAnsi="Times New Roman" w:cs="Times New Roman"/>
          <w:sz w:val="28"/>
          <w:szCs w:val="28"/>
        </w:rPr>
      </w:pPr>
      <w:r>
        <w:pict>
          <v:shape id="_x0000_i1025" o:spt="75" alt="base_23792_85543_579" type="#_x0000_t75" style="height:20.25pt;width:22.5pt;" filled="f" coordsize="21600,21600">
            <v:path/>
            <v:fill on="f" focussize="0,0"/>
            <v:stroke/>
            <v:imagedata r:id="rId90" o:title="base_23792_85543_579"/>
            <o:lock v:ext="edit" aspectratio="f"/>
            <w10:wrap type="none"/>
            <w10:anchorlock/>
          </v:shape>
        </w:pict>
      </w:r>
      <w:r>
        <w:rPr>
          <w:rFonts w:ascii="Times New Roman" w:hAnsi="Times New Roman" w:cs="Times New Roman"/>
          <w:sz w:val="28"/>
          <w:szCs w:val="28"/>
        </w:rPr>
        <w:t xml:space="preserve"> –цена одного i-го системного блока.</w:t>
      </w:r>
    </w:p>
    <w:p w14:paraId="76F95209">
      <w:pPr>
        <w:pStyle w:val="8"/>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№21.</w:t>
      </w:r>
    </w:p>
    <w:p w14:paraId="55CD2545">
      <w:pPr>
        <w:pStyle w:val="8"/>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Таблица №21</w:t>
      </w:r>
    </w:p>
    <w:p w14:paraId="3A1BA79A">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системных блоков, компьютеров в сборе</w:t>
      </w:r>
    </w:p>
    <w:p w14:paraId="51F98920">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p>
    <w:tbl>
      <w:tblPr>
        <w:tblStyle w:val="43"/>
        <w:tblW w:w="976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4252"/>
        <w:gridCol w:w="2537"/>
        <w:gridCol w:w="2127"/>
      </w:tblGrid>
      <w:tr w14:paraId="09D26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51" w:type="dxa"/>
            <w:vAlign w:val="center"/>
          </w:tcPr>
          <w:p w14:paraId="6D0E63B8">
            <w:pPr>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п/п</w:t>
            </w:r>
          </w:p>
        </w:tc>
        <w:tc>
          <w:tcPr>
            <w:tcW w:w="4252" w:type="dxa"/>
            <w:vAlign w:val="center"/>
          </w:tcPr>
          <w:p w14:paraId="5C14748A">
            <w:pPr>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Тип устройства</w:t>
            </w:r>
          </w:p>
        </w:tc>
        <w:tc>
          <w:tcPr>
            <w:tcW w:w="2537" w:type="dxa"/>
            <w:vAlign w:val="center"/>
          </w:tcPr>
          <w:p w14:paraId="17C7C527">
            <w:pPr>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Норматив количества (штук)</w:t>
            </w:r>
          </w:p>
        </w:tc>
        <w:tc>
          <w:tcPr>
            <w:tcW w:w="2127" w:type="dxa"/>
            <w:vAlign w:val="center"/>
          </w:tcPr>
          <w:p w14:paraId="65E315AC">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Норматив цена </w:t>
            </w:r>
          </w:p>
          <w:p w14:paraId="53C363A4">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 единицу, руб</w:t>
            </w:r>
          </w:p>
        </w:tc>
      </w:tr>
      <w:tr w14:paraId="4636A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51" w:type="dxa"/>
            <w:vAlign w:val="center"/>
          </w:tcPr>
          <w:p w14:paraId="67438FF7">
            <w:pPr>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c>
          <w:tcPr>
            <w:tcW w:w="4252" w:type="dxa"/>
            <w:vAlign w:val="center"/>
          </w:tcPr>
          <w:p w14:paraId="25F6D717">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Системный блок (материнская плата, ОЗУ, корпус, жесткий диск, процессор, привод)</w:t>
            </w:r>
          </w:p>
        </w:tc>
        <w:tc>
          <w:tcPr>
            <w:tcW w:w="2537" w:type="dxa"/>
            <w:vAlign w:val="center"/>
          </w:tcPr>
          <w:p w14:paraId="09A65777">
            <w:pPr>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не более 1 единицы на 1 сотрудника</w:t>
            </w:r>
          </w:p>
        </w:tc>
        <w:tc>
          <w:tcPr>
            <w:tcW w:w="2127" w:type="dxa"/>
            <w:vAlign w:val="center"/>
          </w:tcPr>
          <w:p w14:paraId="4D7615FE">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не более 55 000,00</w:t>
            </w:r>
          </w:p>
        </w:tc>
      </w:tr>
      <w:tr w14:paraId="310DB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51" w:type="dxa"/>
            <w:vAlign w:val="center"/>
          </w:tcPr>
          <w:p w14:paraId="5D562622">
            <w:pPr>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tc>
        <w:tc>
          <w:tcPr>
            <w:tcW w:w="4252" w:type="dxa"/>
            <w:vAlign w:val="center"/>
          </w:tcPr>
          <w:p w14:paraId="4D01BBFE">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Компьютер в сборе (материнская плата, ОЗУ, корпус, жесткий диск, процессор, привод, монитор, системный блок, клавиатура, манипулятор типа «мышь»)</w:t>
            </w:r>
          </w:p>
        </w:tc>
        <w:tc>
          <w:tcPr>
            <w:tcW w:w="2537" w:type="dxa"/>
            <w:vAlign w:val="center"/>
          </w:tcPr>
          <w:p w14:paraId="5695F0B7">
            <w:pPr>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не более 1 единицы на 1 сотрудника</w:t>
            </w:r>
          </w:p>
        </w:tc>
        <w:tc>
          <w:tcPr>
            <w:tcW w:w="2127" w:type="dxa"/>
            <w:vAlign w:val="center"/>
          </w:tcPr>
          <w:p w14:paraId="51407678">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не более 78 000,00</w:t>
            </w:r>
          </w:p>
        </w:tc>
      </w:tr>
    </w:tbl>
    <w:p w14:paraId="38A884FF">
      <w:pPr>
        <w:pStyle w:val="8"/>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*Количество системных блоков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учреждения. Приобретение производится с целью замены неисправных, а также подлежащих списанию системных блоков. Допускается приобретение системных блоков для создания резерва с целью обеспечения непрерывности работы из расчета в год не менее 5% от общего количества системных блоков.</w:t>
      </w:r>
    </w:p>
    <w:p w14:paraId="34030108">
      <w:pPr>
        <w:pStyle w:val="8"/>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5.3. Затраты министерства  подведомственного учреждения на приобретение других запасных частей для вычислительной техники </w:t>
      </w:r>
      <w:r>
        <w:rPr>
          <w:rFonts w:ascii="Times New Roman" w:hAnsi="Times New Roman" w:cs="Times New Roman"/>
          <w:position w:val="-12"/>
          <w:sz w:val="28"/>
          <w:szCs w:val="28"/>
        </w:rPr>
        <w:drawing>
          <wp:inline distT="0" distB="0" distL="0" distR="0">
            <wp:extent cx="409575" cy="257175"/>
            <wp:effectExtent l="0" t="0" r="0" b="0"/>
            <wp:docPr id="127" name="Рисунок 127" descr="base_23792_85543_580"/>
            <wp:cNvGraphicFramePr/>
            <a:graphic xmlns:a="http://schemas.openxmlformats.org/drawingml/2006/main">
              <a:graphicData uri="http://schemas.openxmlformats.org/drawingml/2006/picture">
                <pic:pic xmlns:pic="http://schemas.openxmlformats.org/drawingml/2006/picture">
                  <pic:nvPicPr>
                    <pic:cNvPr id="127" name="Рисунок 127" descr="base_23792_85543_580"/>
                    <pic:cNvPicPr preferRelativeResize="0">
                      <a:picLocks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724B53F0">
      <w:pPr>
        <w:pStyle w:val="8"/>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drawing>
          <wp:inline distT="0" distB="0" distL="0" distR="0">
            <wp:extent cx="1828800" cy="476250"/>
            <wp:effectExtent l="0" t="0" r="0" b="0"/>
            <wp:docPr id="128" name="Рисунок 128" descr="base_23792_85543_581"/>
            <wp:cNvGraphicFramePr/>
            <a:graphic xmlns:a="http://schemas.openxmlformats.org/drawingml/2006/main">
              <a:graphicData uri="http://schemas.openxmlformats.org/drawingml/2006/picture">
                <pic:pic xmlns:pic="http://schemas.openxmlformats.org/drawingml/2006/picture">
                  <pic:nvPicPr>
                    <pic:cNvPr id="128" name="Рисунок 128" descr="base_23792_85543_581"/>
                    <pic:cNvPicPr preferRelativeResize="0">
                      <a:picLocks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a:xfrm>
                      <a:off x="0" y="0"/>
                      <a:ext cx="1828800" cy="476250"/>
                    </a:xfrm>
                    <a:prstGeom prst="rect">
                      <a:avLst/>
                    </a:prstGeom>
                    <a:noFill/>
                    <a:ln>
                      <a:noFill/>
                    </a:ln>
                  </pic:spPr>
                </pic:pic>
              </a:graphicData>
            </a:graphic>
          </wp:inline>
        </w:drawing>
      </w:r>
    </w:p>
    <w:p w14:paraId="4EE01BB1">
      <w:pPr>
        <w:pStyle w:val="8"/>
        <w:spacing w:line="360" w:lineRule="auto"/>
        <w:ind w:firstLine="709"/>
        <w:jc w:val="both"/>
        <w:rPr>
          <w:rFonts w:ascii="Times New Roman" w:hAnsi="Times New Roman" w:cs="Times New Roman"/>
          <w:sz w:val="28"/>
          <w:szCs w:val="28"/>
        </w:rPr>
      </w:pPr>
      <w:r>
        <w:rPr>
          <w:rFonts w:ascii="Times New Roman" w:hAnsi="Times New Roman" w:cs="Times New Roman"/>
          <w:position w:val="-14"/>
          <w:sz w:val="28"/>
          <w:szCs w:val="28"/>
        </w:rPr>
        <w:drawing>
          <wp:inline distT="0" distB="0" distL="0" distR="0">
            <wp:extent cx="371475" cy="257175"/>
            <wp:effectExtent l="0" t="0" r="0" b="0"/>
            <wp:docPr id="129" name="Рисунок 129" descr="base_23792_85543_582"/>
            <wp:cNvGraphicFramePr/>
            <a:graphic xmlns:a="http://schemas.openxmlformats.org/drawingml/2006/main">
              <a:graphicData uri="http://schemas.openxmlformats.org/drawingml/2006/picture">
                <pic:pic xmlns:pic="http://schemas.openxmlformats.org/drawingml/2006/picture">
                  <pic:nvPicPr>
                    <pic:cNvPr id="129" name="Рисунок 129" descr="base_23792_85543_582"/>
                    <pic:cNvPicPr preferRelativeResize="0">
                      <a:picLocks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–количество i-х запасных частей для вычислительной техники, которое определяется по средним фактическим данным за 3 предыдущих финансовых года;</w:t>
      </w:r>
    </w:p>
    <w:p w14:paraId="069338BC">
      <w:pPr>
        <w:pStyle w:val="8"/>
        <w:spacing w:line="360" w:lineRule="auto"/>
        <w:ind w:firstLine="709"/>
        <w:jc w:val="both"/>
        <w:rPr>
          <w:rFonts w:ascii="Times New Roman" w:hAnsi="Times New Roman" w:cs="Times New Roman"/>
          <w:sz w:val="28"/>
          <w:szCs w:val="28"/>
        </w:rPr>
      </w:pPr>
      <w:r>
        <w:rPr>
          <w:rFonts w:ascii="Times New Roman" w:hAnsi="Times New Roman" w:cs="Times New Roman"/>
          <w:position w:val="-14"/>
          <w:sz w:val="28"/>
          <w:szCs w:val="28"/>
        </w:rPr>
        <w:drawing>
          <wp:inline distT="0" distB="0" distL="0" distR="0">
            <wp:extent cx="314325" cy="257175"/>
            <wp:effectExtent l="0" t="0" r="0" b="0"/>
            <wp:docPr id="130" name="Рисунок 130" descr="base_23792_85543_583"/>
            <wp:cNvGraphicFramePr/>
            <a:graphic xmlns:a="http://schemas.openxmlformats.org/drawingml/2006/main">
              <a:graphicData uri="http://schemas.openxmlformats.org/drawingml/2006/picture">
                <pic:pic xmlns:pic="http://schemas.openxmlformats.org/drawingml/2006/picture">
                  <pic:nvPicPr>
                    <pic:cNvPr id="130" name="Рисунок 130" descr="base_23792_85543_583"/>
                    <pic:cNvPicPr preferRelativeResize="0">
                      <a:picLocks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–цена одной единицы i-й запасной части для вычислительной техники.</w:t>
      </w:r>
    </w:p>
    <w:p w14:paraId="2C431625">
      <w:pPr>
        <w:pStyle w:val="8"/>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Затраты производятся в соответствии с нормативами согласно таблице №22.</w:t>
      </w:r>
    </w:p>
    <w:p w14:paraId="24B56142">
      <w:pPr>
        <w:pStyle w:val="8"/>
        <w:spacing w:line="360" w:lineRule="auto"/>
        <w:jc w:val="right"/>
        <w:rPr>
          <w:rFonts w:ascii="Times New Roman" w:hAnsi="Times New Roman" w:cs="Times New Roman"/>
          <w:sz w:val="28"/>
          <w:szCs w:val="28"/>
        </w:rPr>
      </w:pPr>
      <w:r>
        <w:rPr>
          <w:rFonts w:ascii="Times New Roman" w:hAnsi="Times New Roman" w:cs="Times New Roman"/>
          <w:sz w:val="28"/>
          <w:szCs w:val="28"/>
        </w:rPr>
        <w:t xml:space="preserve">  Таблица №22</w:t>
      </w:r>
    </w:p>
    <w:p w14:paraId="5D60F652">
      <w:pPr>
        <w:pStyle w:val="8"/>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   Нормативные затраты на приобретение запасных частей для вычислительной техники</w:t>
      </w:r>
    </w:p>
    <w:tbl>
      <w:tblPr>
        <w:tblStyle w:val="41"/>
        <w:tblW w:w="976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3856"/>
        <w:gridCol w:w="2933"/>
        <w:gridCol w:w="2127"/>
      </w:tblGrid>
      <w:tr w14:paraId="1B199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51" w:type="dxa"/>
            <w:vAlign w:val="center"/>
          </w:tcPr>
          <w:p w14:paraId="6BD67D5B">
            <w:pPr>
              <w:autoSpaceDE w:val="0"/>
              <w:autoSpaceDN w:val="0"/>
              <w:adjustRightInd w:val="0"/>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п/п</w:t>
            </w:r>
          </w:p>
        </w:tc>
        <w:tc>
          <w:tcPr>
            <w:tcW w:w="3856" w:type="dxa"/>
            <w:vAlign w:val="center"/>
          </w:tcPr>
          <w:p w14:paraId="1E93F689">
            <w:pPr>
              <w:autoSpaceDE w:val="0"/>
              <w:autoSpaceDN w:val="0"/>
              <w:adjustRightInd w:val="0"/>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Тип устройства</w:t>
            </w:r>
          </w:p>
        </w:tc>
        <w:tc>
          <w:tcPr>
            <w:tcW w:w="2933" w:type="dxa"/>
            <w:vAlign w:val="center"/>
          </w:tcPr>
          <w:p w14:paraId="2D659D98">
            <w:pPr>
              <w:autoSpaceDE w:val="0"/>
              <w:autoSpaceDN w:val="0"/>
              <w:adjustRightInd w:val="0"/>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Норматив количества (штук)</w:t>
            </w:r>
          </w:p>
        </w:tc>
        <w:tc>
          <w:tcPr>
            <w:tcW w:w="2127" w:type="dxa"/>
            <w:vAlign w:val="center"/>
          </w:tcPr>
          <w:p w14:paraId="2E5B900F">
            <w:pPr>
              <w:autoSpaceDE w:val="0"/>
              <w:autoSpaceDN w:val="0"/>
              <w:adjustRightInd w:val="0"/>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Норматив цена</w:t>
            </w:r>
          </w:p>
          <w:p w14:paraId="09B26000">
            <w:pPr>
              <w:autoSpaceDE w:val="0"/>
              <w:autoSpaceDN w:val="0"/>
              <w:adjustRightInd w:val="0"/>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за единицу, руб.</w:t>
            </w:r>
          </w:p>
        </w:tc>
      </w:tr>
      <w:tr w14:paraId="4F4E2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767" w:type="dxa"/>
            <w:gridSpan w:val="4"/>
            <w:vAlign w:val="center"/>
          </w:tcPr>
          <w:p w14:paraId="153C8F32">
            <w:pPr>
              <w:autoSpaceDE w:val="0"/>
              <w:autoSpaceDN w:val="0"/>
              <w:adjustRightInd w:val="0"/>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Министерство и подведомственное учреждение</w:t>
            </w:r>
          </w:p>
        </w:tc>
      </w:tr>
      <w:tr w14:paraId="21305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51" w:type="dxa"/>
            <w:vAlign w:val="center"/>
          </w:tcPr>
          <w:p w14:paraId="40BF8F89">
            <w:pPr>
              <w:autoSpaceDE w:val="0"/>
              <w:autoSpaceDN w:val="0"/>
              <w:adjustRightInd w:val="0"/>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w:t>
            </w:r>
          </w:p>
        </w:tc>
        <w:tc>
          <w:tcPr>
            <w:tcW w:w="3856" w:type="dxa"/>
            <w:vAlign w:val="center"/>
          </w:tcPr>
          <w:p w14:paraId="0FF240E8">
            <w:pPr>
              <w:autoSpaceDE w:val="0"/>
              <w:autoSpaceDN w:val="0"/>
              <w:adjustRightInd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Колонки компьютерные</w:t>
            </w:r>
          </w:p>
        </w:tc>
        <w:tc>
          <w:tcPr>
            <w:tcW w:w="2933" w:type="dxa"/>
            <w:vAlign w:val="center"/>
          </w:tcPr>
          <w:p w14:paraId="5BB0B85B">
            <w:pPr>
              <w:autoSpaceDE w:val="0"/>
              <w:autoSpaceDN w:val="0"/>
              <w:adjustRightInd w:val="0"/>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не более 2 на кабинет</w:t>
            </w:r>
          </w:p>
        </w:tc>
        <w:tc>
          <w:tcPr>
            <w:tcW w:w="2127" w:type="dxa"/>
            <w:vAlign w:val="center"/>
          </w:tcPr>
          <w:p w14:paraId="259D5E1E">
            <w:pPr>
              <w:autoSpaceDE w:val="0"/>
              <w:autoSpaceDN w:val="0"/>
              <w:adjustRightInd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не более 1 500,00</w:t>
            </w:r>
          </w:p>
        </w:tc>
      </w:tr>
      <w:tr w14:paraId="33A18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51" w:type="dxa"/>
            <w:vAlign w:val="center"/>
          </w:tcPr>
          <w:p w14:paraId="5778E403">
            <w:pPr>
              <w:autoSpaceDE w:val="0"/>
              <w:autoSpaceDN w:val="0"/>
              <w:adjustRightInd w:val="0"/>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w:t>
            </w:r>
          </w:p>
        </w:tc>
        <w:tc>
          <w:tcPr>
            <w:tcW w:w="3856" w:type="dxa"/>
            <w:vAlign w:val="center"/>
          </w:tcPr>
          <w:p w14:paraId="53D01D08">
            <w:pPr>
              <w:autoSpaceDE w:val="0"/>
              <w:autoSpaceDN w:val="0"/>
              <w:adjustRightInd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Веб-камера</w:t>
            </w:r>
          </w:p>
        </w:tc>
        <w:tc>
          <w:tcPr>
            <w:tcW w:w="2933" w:type="dxa"/>
            <w:vAlign w:val="center"/>
          </w:tcPr>
          <w:p w14:paraId="71F6A2DB">
            <w:pPr>
              <w:autoSpaceDE w:val="0"/>
              <w:autoSpaceDN w:val="0"/>
              <w:adjustRightInd w:val="0"/>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не более 1 на кабинет</w:t>
            </w:r>
          </w:p>
        </w:tc>
        <w:tc>
          <w:tcPr>
            <w:tcW w:w="2127" w:type="dxa"/>
            <w:vAlign w:val="center"/>
          </w:tcPr>
          <w:p w14:paraId="1DD29B6E">
            <w:pPr>
              <w:autoSpaceDE w:val="0"/>
              <w:autoSpaceDN w:val="0"/>
              <w:adjustRightInd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не более 1 500,00</w:t>
            </w:r>
          </w:p>
        </w:tc>
      </w:tr>
      <w:tr w14:paraId="59FDD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51" w:type="dxa"/>
            <w:vAlign w:val="center"/>
          </w:tcPr>
          <w:p w14:paraId="569613AF">
            <w:pPr>
              <w:autoSpaceDE w:val="0"/>
              <w:autoSpaceDN w:val="0"/>
              <w:adjustRightInd w:val="0"/>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w:t>
            </w:r>
          </w:p>
        </w:tc>
        <w:tc>
          <w:tcPr>
            <w:tcW w:w="3856" w:type="dxa"/>
            <w:vAlign w:val="center"/>
          </w:tcPr>
          <w:p w14:paraId="567E0C18">
            <w:pPr>
              <w:autoSpaceDE w:val="0"/>
              <w:autoSpaceDN w:val="0"/>
              <w:adjustRightInd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Кронштейн</w:t>
            </w:r>
          </w:p>
        </w:tc>
        <w:tc>
          <w:tcPr>
            <w:tcW w:w="2933" w:type="dxa"/>
            <w:vAlign w:val="center"/>
          </w:tcPr>
          <w:p w14:paraId="3CA2E7A9">
            <w:pPr>
              <w:autoSpaceDE w:val="0"/>
              <w:autoSpaceDN w:val="0"/>
              <w:adjustRightInd w:val="0"/>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не более 1 на кабинет</w:t>
            </w:r>
          </w:p>
        </w:tc>
        <w:tc>
          <w:tcPr>
            <w:tcW w:w="2127" w:type="dxa"/>
            <w:vAlign w:val="center"/>
          </w:tcPr>
          <w:p w14:paraId="509E0A4C">
            <w:pPr>
              <w:autoSpaceDE w:val="0"/>
              <w:autoSpaceDN w:val="0"/>
              <w:adjustRightInd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не более 1 500,00</w:t>
            </w:r>
          </w:p>
        </w:tc>
      </w:tr>
      <w:tr w14:paraId="55995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51" w:type="dxa"/>
            <w:vAlign w:val="center"/>
          </w:tcPr>
          <w:p w14:paraId="7B74F051">
            <w:pPr>
              <w:autoSpaceDE w:val="0"/>
              <w:autoSpaceDN w:val="0"/>
              <w:adjustRightInd w:val="0"/>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w:t>
            </w:r>
          </w:p>
        </w:tc>
        <w:tc>
          <w:tcPr>
            <w:tcW w:w="3856" w:type="dxa"/>
            <w:vAlign w:val="center"/>
          </w:tcPr>
          <w:p w14:paraId="50344F0F">
            <w:pPr>
              <w:autoSpaceDE w:val="0"/>
              <w:autoSpaceDN w:val="0"/>
              <w:adjustRightInd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Видеокамера</w:t>
            </w:r>
          </w:p>
        </w:tc>
        <w:tc>
          <w:tcPr>
            <w:tcW w:w="2933" w:type="dxa"/>
            <w:vAlign w:val="center"/>
          </w:tcPr>
          <w:p w14:paraId="01C9C134">
            <w:pPr>
              <w:autoSpaceDE w:val="0"/>
              <w:autoSpaceDN w:val="0"/>
              <w:adjustRightInd w:val="0"/>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не более 1 на министерство</w:t>
            </w:r>
          </w:p>
        </w:tc>
        <w:tc>
          <w:tcPr>
            <w:tcW w:w="2127" w:type="dxa"/>
            <w:vAlign w:val="center"/>
          </w:tcPr>
          <w:p w14:paraId="340597B2">
            <w:pPr>
              <w:autoSpaceDE w:val="0"/>
              <w:autoSpaceDN w:val="0"/>
              <w:adjustRightInd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не более 30 000,00</w:t>
            </w:r>
          </w:p>
        </w:tc>
      </w:tr>
      <w:tr w14:paraId="2EE7E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51" w:type="dxa"/>
            <w:vAlign w:val="center"/>
          </w:tcPr>
          <w:p w14:paraId="7797C209">
            <w:pPr>
              <w:autoSpaceDE w:val="0"/>
              <w:autoSpaceDN w:val="0"/>
              <w:adjustRightInd w:val="0"/>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5</w:t>
            </w:r>
          </w:p>
        </w:tc>
        <w:tc>
          <w:tcPr>
            <w:tcW w:w="3856" w:type="dxa"/>
            <w:vAlign w:val="center"/>
          </w:tcPr>
          <w:p w14:paraId="13FBD2CD">
            <w:pPr>
              <w:autoSpaceDE w:val="0"/>
              <w:autoSpaceDN w:val="0"/>
              <w:adjustRightInd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Мышь компьютерная</w:t>
            </w:r>
          </w:p>
        </w:tc>
        <w:tc>
          <w:tcPr>
            <w:tcW w:w="2933" w:type="dxa"/>
            <w:vAlign w:val="center"/>
          </w:tcPr>
          <w:p w14:paraId="3ED2BBF1">
            <w:pPr>
              <w:autoSpaceDE w:val="0"/>
              <w:autoSpaceDN w:val="0"/>
              <w:adjustRightInd w:val="0"/>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не более 1 на работника</w:t>
            </w:r>
          </w:p>
        </w:tc>
        <w:tc>
          <w:tcPr>
            <w:tcW w:w="2127" w:type="dxa"/>
            <w:vAlign w:val="center"/>
          </w:tcPr>
          <w:p w14:paraId="749ACE15">
            <w:pPr>
              <w:autoSpaceDE w:val="0"/>
              <w:autoSpaceDN w:val="0"/>
              <w:adjustRightInd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не более </w:t>
            </w:r>
          </w:p>
          <w:p w14:paraId="3580F29B">
            <w:pPr>
              <w:autoSpaceDE w:val="0"/>
              <w:autoSpaceDN w:val="0"/>
              <w:adjustRightInd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1 000,00</w:t>
            </w:r>
          </w:p>
        </w:tc>
      </w:tr>
      <w:tr w14:paraId="60C52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51" w:type="dxa"/>
            <w:vAlign w:val="center"/>
          </w:tcPr>
          <w:p w14:paraId="1192B192">
            <w:pPr>
              <w:autoSpaceDE w:val="0"/>
              <w:autoSpaceDN w:val="0"/>
              <w:adjustRightInd w:val="0"/>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6</w:t>
            </w:r>
          </w:p>
        </w:tc>
        <w:tc>
          <w:tcPr>
            <w:tcW w:w="3856" w:type="dxa"/>
            <w:vAlign w:val="center"/>
          </w:tcPr>
          <w:p w14:paraId="43B2EC9B">
            <w:pPr>
              <w:autoSpaceDE w:val="0"/>
              <w:autoSpaceDN w:val="0"/>
              <w:adjustRightInd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Клавиатура</w:t>
            </w:r>
          </w:p>
        </w:tc>
        <w:tc>
          <w:tcPr>
            <w:tcW w:w="2933" w:type="dxa"/>
            <w:vAlign w:val="center"/>
          </w:tcPr>
          <w:p w14:paraId="422BC37C">
            <w:pPr>
              <w:autoSpaceDE w:val="0"/>
              <w:autoSpaceDN w:val="0"/>
              <w:adjustRightInd w:val="0"/>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не более 1 на работника</w:t>
            </w:r>
          </w:p>
        </w:tc>
        <w:tc>
          <w:tcPr>
            <w:tcW w:w="2127" w:type="dxa"/>
            <w:vAlign w:val="center"/>
          </w:tcPr>
          <w:p w14:paraId="091A0B14">
            <w:pPr>
              <w:autoSpaceDE w:val="0"/>
              <w:autoSpaceDN w:val="0"/>
              <w:adjustRightInd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не более </w:t>
            </w:r>
          </w:p>
          <w:p w14:paraId="23F74956">
            <w:pPr>
              <w:autoSpaceDE w:val="0"/>
              <w:autoSpaceDN w:val="0"/>
              <w:adjustRightInd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1 200,00</w:t>
            </w:r>
          </w:p>
        </w:tc>
      </w:tr>
      <w:tr w14:paraId="686AD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51" w:type="dxa"/>
            <w:vAlign w:val="center"/>
          </w:tcPr>
          <w:p w14:paraId="05970A14">
            <w:pPr>
              <w:autoSpaceDE w:val="0"/>
              <w:autoSpaceDN w:val="0"/>
              <w:adjustRightInd w:val="0"/>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7</w:t>
            </w:r>
          </w:p>
        </w:tc>
        <w:tc>
          <w:tcPr>
            <w:tcW w:w="3856" w:type="dxa"/>
            <w:vAlign w:val="center"/>
          </w:tcPr>
          <w:p w14:paraId="0E6A5A5D">
            <w:pPr>
              <w:autoSpaceDE w:val="0"/>
              <w:autoSpaceDN w:val="0"/>
              <w:adjustRightInd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Блок питания</w:t>
            </w:r>
          </w:p>
        </w:tc>
        <w:tc>
          <w:tcPr>
            <w:tcW w:w="2933" w:type="dxa"/>
            <w:vAlign w:val="center"/>
          </w:tcPr>
          <w:p w14:paraId="21196500">
            <w:pPr>
              <w:autoSpaceDE w:val="0"/>
              <w:autoSpaceDN w:val="0"/>
              <w:adjustRightInd w:val="0"/>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не более 1 на кабинет</w:t>
            </w:r>
          </w:p>
        </w:tc>
        <w:tc>
          <w:tcPr>
            <w:tcW w:w="2127" w:type="dxa"/>
            <w:vAlign w:val="center"/>
          </w:tcPr>
          <w:p w14:paraId="5A19A957">
            <w:pPr>
              <w:autoSpaceDE w:val="0"/>
              <w:autoSpaceDN w:val="0"/>
              <w:adjustRightInd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не более </w:t>
            </w:r>
          </w:p>
          <w:p w14:paraId="664461DA">
            <w:pPr>
              <w:autoSpaceDE w:val="0"/>
              <w:autoSpaceDN w:val="0"/>
              <w:adjustRightInd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3 000,00</w:t>
            </w:r>
          </w:p>
        </w:tc>
      </w:tr>
      <w:tr w14:paraId="51AFB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51" w:type="dxa"/>
            <w:vAlign w:val="center"/>
          </w:tcPr>
          <w:p w14:paraId="651B087D">
            <w:pPr>
              <w:autoSpaceDE w:val="0"/>
              <w:autoSpaceDN w:val="0"/>
              <w:adjustRightInd w:val="0"/>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8</w:t>
            </w:r>
          </w:p>
        </w:tc>
        <w:tc>
          <w:tcPr>
            <w:tcW w:w="3856" w:type="dxa"/>
            <w:vAlign w:val="center"/>
          </w:tcPr>
          <w:p w14:paraId="59218AE3">
            <w:pPr>
              <w:autoSpaceDE w:val="0"/>
              <w:autoSpaceDN w:val="0"/>
              <w:adjustRightInd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Материнская плата</w:t>
            </w:r>
          </w:p>
        </w:tc>
        <w:tc>
          <w:tcPr>
            <w:tcW w:w="2933" w:type="dxa"/>
            <w:vAlign w:val="center"/>
          </w:tcPr>
          <w:p w14:paraId="76D9FA62">
            <w:pPr>
              <w:autoSpaceDE w:val="0"/>
              <w:autoSpaceDN w:val="0"/>
              <w:adjustRightInd w:val="0"/>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не более 1 на рабочую станцию</w:t>
            </w:r>
          </w:p>
        </w:tc>
        <w:tc>
          <w:tcPr>
            <w:tcW w:w="2127" w:type="dxa"/>
            <w:vAlign w:val="center"/>
          </w:tcPr>
          <w:p w14:paraId="24799A18">
            <w:pPr>
              <w:autoSpaceDE w:val="0"/>
              <w:autoSpaceDN w:val="0"/>
              <w:adjustRightInd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не более </w:t>
            </w:r>
          </w:p>
          <w:p w14:paraId="23676C3A">
            <w:pPr>
              <w:autoSpaceDE w:val="0"/>
              <w:autoSpaceDN w:val="0"/>
              <w:adjustRightInd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5 000,00</w:t>
            </w:r>
          </w:p>
        </w:tc>
      </w:tr>
      <w:tr w14:paraId="237A2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51" w:type="dxa"/>
            <w:vAlign w:val="center"/>
          </w:tcPr>
          <w:p w14:paraId="5C6C4CF9">
            <w:pPr>
              <w:autoSpaceDE w:val="0"/>
              <w:autoSpaceDN w:val="0"/>
              <w:adjustRightInd w:val="0"/>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9</w:t>
            </w:r>
          </w:p>
        </w:tc>
        <w:tc>
          <w:tcPr>
            <w:tcW w:w="3856" w:type="dxa"/>
            <w:vAlign w:val="center"/>
          </w:tcPr>
          <w:p w14:paraId="41D1E41E">
            <w:pPr>
              <w:autoSpaceDE w:val="0"/>
              <w:autoSpaceDN w:val="0"/>
              <w:adjustRightInd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Оперативная память</w:t>
            </w:r>
          </w:p>
        </w:tc>
        <w:tc>
          <w:tcPr>
            <w:tcW w:w="2933" w:type="dxa"/>
            <w:vAlign w:val="center"/>
          </w:tcPr>
          <w:p w14:paraId="2C292FD0">
            <w:pPr>
              <w:autoSpaceDE w:val="0"/>
              <w:autoSpaceDN w:val="0"/>
              <w:adjustRightInd w:val="0"/>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не более 1 на рабочую станцию</w:t>
            </w:r>
          </w:p>
        </w:tc>
        <w:tc>
          <w:tcPr>
            <w:tcW w:w="2127" w:type="dxa"/>
            <w:vAlign w:val="center"/>
          </w:tcPr>
          <w:p w14:paraId="431BFB08">
            <w:pPr>
              <w:autoSpaceDE w:val="0"/>
              <w:autoSpaceDN w:val="0"/>
              <w:adjustRightInd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не более 7 000,00</w:t>
            </w:r>
          </w:p>
        </w:tc>
      </w:tr>
      <w:tr w14:paraId="5724B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51" w:type="dxa"/>
            <w:vAlign w:val="center"/>
          </w:tcPr>
          <w:p w14:paraId="20EE9B9B">
            <w:pPr>
              <w:autoSpaceDE w:val="0"/>
              <w:autoSpaceDN w:val="0"/>
              <w:adjustRightInd w:val="0"/>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10</w:t>
            </w:r>
          </w:p>
        </w:tc>
        <w:tc>
          <w:tcPr>
            <w:tcW w:w="3856" w:type="dxa"/>
            <w:vAlign w:val="center"/>
          </w:tcPr>
          <w:p w14:paraId="7CD45E20">
            <w:pPr>
              <w:autoSpaceDE w:val="0"/>
              <w:autoSpaceDN w:val="0"/>
              <w:adjustRightInd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Чехол для планшета </w:t>
            </w:r>
          </w:p>
        </w:tc>
        <w:tc>
          <w:tcPr>
            <w:tcW w:w="2933" w:type="dxa"/>
            <w:vAlign w:val="center"/>
          </w:tcPr>
          <w:p w14:paraId="7A2BE323">
            <w:pPr>
              <w:autoSpaceDE w:val="0"/>
              <w:autoSpaceDN w:val="0"/>
              <w:adjustRightInd w:val="0"/>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не более 1 на единицу</w:t>
            </w:r>
          </w:p>
        </w:tc>
        <w:tc>
          <w:tcPr>
            <w:tcW w:w="2127" w:type="dxa"/>
            <w:vAlign w:val="center"/>
          </w:tcPr>
          <w:p w14:paraId="00B5BD1D">
            <w:pPr>
              <w:autoSpaceDE w:val="0"/>
              <w:autoSpaceDN w:val="0"/>
              <w:adjustRightInd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не более 2 500,00</w:t>
            </w:r>
          </w:p>
        </w:tc>
      </w:tr>
      <w:tr w14:paraId="1144D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51" w:type="dxa"/>
            <w:vAlign w:val="center"/>
          </w:tcPr>
          <w:p w14:paraId="378E76C3">
            <w:pPr>
              <w:autoSpaceDE w:val="0"/>
              <w:autoSpaceDN w:val="0"/>
              <w:adjustRightInd w:val="0"/>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11</w:t>
            </w:r>
          </w:p>
        </w:tc>
        <w:tc>
          <w:tcPr>
            <w:tcW w:w="3856" w:type="dxa"/>
            <w:vAlign w:val="center"/>
          </w:tcPr>
          <w:p w14:paraId="6F6EEA02">
            <w:pPr>
              <w:autoSpaceDE w:val="0"/>
              <w:autoSpaceDN w:val="0"/>
              <w:adjustRightInd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Кабель для планшета</w:t>
            </w:r>
          </w:p>
        </w:tc>
        <w:tc>
          <w:tcPr>
            <w:tcW w:w="2933" w:type="dxa"/>
            <w:vAlign w:val="center"/>
          </w:tcPr>
          <w:p w14:paraId="0D144065">
            <w:pPr>
              <w:autoSpaceDE w:val="0"/>
              <w:autoSpaceDN w:val="0"/>
              <w:adjustRightInd w:val="0"/>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не более 1 на единицу</w:t>
            </w:r>
          </w:p>
        </w:tc>
        <w:tc>
          <w:tcPr>
            <w:tcW w:w="2127" w:type="dxa"/>
            <w:vAlign w:val="center"/>
          </w:tcPr>
          <w:p w14:paraId="131289C1">
            <w:pPr>
              <w:autoSpaceDE w:val="0"/>
              <w:autoSpaceDN w:val="0"/>
              <w:adjustRightInd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не более </w:t>
            </w:r>
          </w:p>
          <w:p w14:paraId="5CF72B4C">
            <w:pPr>
              <w:autoSpaceDE w:val="0"/>
              <w:autoSpaceDN w:val="0"/>
              <w:adjustRightInd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800,00</w:t>
            </w:r>
          </w:p>
        </w:tc>
      </w:tr>
      <w:tr w14:paraId="26727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51" w:type="dxa"/>
            <w:vAlign w:val="center"/>
          </w:tcPr>
          <w:p w14:paraId="0FB213B5">
            <w:pPr>
              <w:autoSpaceDE w:val="0"/>
              <w:autoSpaceDN w:val="0"/>
              <w:adjustRightInd w:val="0"/>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12</w:t>
            </w:r>
          </w:p>
        </w:tc>
        <w:tc>
          <w:tcPr>
            <w:tcW w:w="3856" w:type="dxa"/>
            <w:vAlign w:val="center"/>
          </w:tcPr>
          <w:p w14:paraId="3DAAD14F">
            <w:pPr>
              <w:autoSpaceDE w:val="0"/>
              <w:autoSpaceDN w:val="0"/>
              <w:adjustRightInd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Блок розеток (сетевой фильтр)</w:t>
            </w:r>
          </w:p>
        </w:tc>
        <w:tc>
          <w:tcPr>
            <w:tcW w:w="2933" w:type="dxa"/>
            <w:vAlign w:val="center"/>
          </w:tcPr>
          <w:p w14:paraId="5D2C9346">
            <w:pPr>
              <w:autoSpaceDE w:val="0"/>
              <w:autoSpaceDN w:val="0"/>
              <w:adjustRightInd w:val="0"/>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не более 1 на работника</w:t>
            </w:r>
          </w:p>
        </w:tc>
        <w:tc>
          <w:tcPr>
            <w:tcW w:w="2127" w:type="dxa"/>
            <w:vAlign w:val="center"/>
          </w:tcPr>
          <w:p w14:paraId="2E2B768A">
            <w:pPr>
              <w:autoSpaceDE w:val="0"/>
              <w:autoSpaceDN w:val="0"/>
              <w:adjustRightInd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не более </w:t>
            </w:r>
          </w:p>
          <w:p w14:paraId="121ABA87">
            <w:pPr>
              <w:autoSpaceDE w:val="0"/>
              <w:autoSpaceDN w:val="0"/>
              <w:adjustRightInd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2 000,00</w:t>
            </w:r>
          </w:p>
        </w:tc>
      </w:tr>
      <w:tr w14:paraId="0B29C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51" w:type="dxa"/>
            <w:vAlign w:val="center"/>
          </w:tcPr>
          <w:p w14:paraId="76AE45C2">
            <w:pPr>
              <w:autoSpaceDE w:val="0"/>
              <w:autoSpaceDN w:val="0"/>
              <w:adjustRightInd w:val="0"/>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13</w:t>
            </w:r>
          </w:p>
        </w:tc>
        <w:tc>
          <w:tcPr>
            <w:tcW w:w="3856" w:type="dxa"/>
            <w:vAlign w:val="center"/>
          </w:tcPr>
          <w:p w14:paraId="16B721E2">
            <w:pPr>
              <w:autoSpaceDE w:val="0"/>
              <w:autoSpaceDN w:val="0"/>
              <w:adjustRightInd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Кабель </w:t>
            </w:r>
            <w:r>
              <w:rPr>
                <w:rFonts w:ascii="Times New Roman" w:hAnsi="Times New Roman" w:eastAsia="Times New Roman" w:cs="Times New Roman"/>
                <w:sz w:val="28"/>
                <w:szCs w:val="28"/>
                <w:lang w:val="en-US" w:eastAsia="ru-RU"/>
              </w:rPr>
              <w:t>HDMI</w:t>
            </w:r>
            <w:r>
              <w:rPr>
                <w:rFonts w:ascii="Times New Roman" w:hAnsi="Times New Roman" w:eastAsia="Times New Roman" w:cs="Times New Roman"/>
                <w:sz w:val="28"/>
                <w:szCs w:val="28"/>
                <w:lang w:eastAsia="ru-RU"/>
              </w:rPr>
              <w:t>-</w:t>
            </w:r>
            <w:r>
              <w:rPr>
                <w:rFonts w:ascii="Times New Roman" w:hAnsi="Times New Roman" w:eastAsia="Times New Roman" w:cs="Times New Roman"/>
                <w:sz w:val="28"/>
                <w:szCs w:val="28"/>
                <w:lang w:val="en-US" w:eastAsia="ru-RU"/>
              </w:rPr>
              <w:t>HDM</w:t>
            </w:r>
            <w:r>
              <w:rPr>
                <w:rFonts w:ascii="Times New Roman" w:hAnsi="Times New Roman" w:eastAsia="Times New Roman" w:cs="Times New Roman"/>
                <w:sz w:val="28"/>
                <w:szCs w:val="28"/>
                <w:lang w:eastAsia="ru-RU"/>
              </w:rPr>
              <w:t xml:space="preserve"> (не менее 5 метров)</w:t>
            </w:r>
          </w:p>
        </w:tc>
        <w:tc>
          <w:tcPr>
            <w:tcW w:w="2933" w:type="dxa"/>
            <w:vAlign w:val="center"/>
          </w:tcPr>
          <w:p w14:paraId="0A9B9F11">
            <w:pPr>
              <w:autoSpaceDE w:val="0"/>
              <w:autoSpaceDN w:val="0"/>
              <w:adjustRightInd w:val="0"/>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не менее 3 </w:t>
            </w:r>
          </w:p>
        </w:tc>
        <w:tc>
          <w:tcPr>
            <w:tcW w:w="2127" w:type="dxa"/>
            <w:vAlign w:val="center"/>
          </w:tcPr>
          <w:p w14:paraId="0F31F8FD">
            <w:pPr>
              <w:autoSpaceDE w:val="0"/>
              <w:autoSpaceDN w:val="0"/>
              <w:adjustRightInd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не более 3 500,00</w:t>
            </w:r>
          </w:p>
        </w:tc>
      </w:tr>
      <w:tr w14:paraId="2FCC4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51" w:type="dxa"/>
            <w:vAlign w:val="center"/>
          </w:tcPr>
          <w:p w14:paraId="183004FB">
            <w:pPr>
              <w:autoSpaceDE w:val="0"/>
              <w:autoSpaceDN w:val="0"/>
              <w:adjustRightInd w:val="0"/>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14</w:t>
            </w:r>
          </w:p>
        </w:tc>
        <w:tc>
          <w:tcPr>
            <w:tcW w:w="3856" w:type="dxa"/>
            <w:vAlign w:val="center"/>
          </w:tcPr>
          <w:p w14:paraId="053BC7CF">
            <w:pPr>
              <w:autoSpaceDE w:val="0"/>
              <w:autoSpaceDN w:val="0"/>
              <w:adjustRightInd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Кабель </w:t>
            </w:r>
            <w:r>
              <w:rPr>
                <w:rFonts w:ascii="Times New Roman" w:hAnsi="Times New Roman" w:eastAsia="Times New Roman" w:cs="Times New Roman"/>
                <w:sz w:val="28"/>
                <w:szCs w:val="28"/>
                <w:lang w:val="en-US" w:eastAsia="ru-RU"/>
              </w:rPr>
              <w:t>XLR</w:t>
            </w:r>
            <w:r>
              <w:rPr>
                <w:rFonts w:ascii="Times New Roman" w:hAnsi="Times New Roman" w:eastAsia="Times New Roman" w:cs="Times New Roman"/>
                <w:sz w:val="28"/>
                <w:szCs w:val="28"/>
                <w:lang w:eastAsia="ru-RU"/>
              </w:rPr>
              <w:t>-</w:t>
            </w:r>
            <w:r>
              <w:rPr>
                <w:rFonts w:ascii="Times New Roman" w:hAnsi="Times New Roman" w:eastAsia="Times New Roman" w:cs="Times New Roman"/>
                <w:sz w:val="28"/>
                <w:szCs w:val="28"/>
                <w:lang w:val="en-US" w:eastAsia="ru-RU"/>
              </w:rPr>
              <w:t>XLR</w:t>
            </w:r>
            <w:r>
              <w:rPr>
                <w:rFonts w:ascii="Times New Roman" w:hAnsi="Times New Roman" w:eastAsia="Times New Roman" w:cs="Times New Roman"/>
                <w:sz w:val="28"/>
                <w:szCs w:val="28"/>
                <w:lang w:eastAsia="ru-RU"/>
              </w:rPr>
              <w:t xml:space="preserve"> (не менее 20 метров)</w:t>
            </w:r>
          </w:p>
        </w:tc>
        <w:tc>
          <w:tcPr>
            <w:tcW w:w="2933" w:type="dxa"/>
            <w:vAlign w:val="center"/>
          </w:tcPr>
          <w:p w14:paraId="616D13A2">
            <w:pPr>
              <w:autoSpaceDE w:val="0"/>
              <w:autoSpaceDN w:val="0"/>
              <w:adjustRightInd w:val="0"/>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не менее 3</w:t>
            </w:r>
          </w:p>
        </w:tc>
        <w:tc>
          <w:tcPr>
            <w:tcW w:w="2127" w:type="dxa"/>
            <w:vAlign w:val="center"/>
          </w:tcPr>
          <w:p w14:paraId="309719F9">
            <w:pPr>
              <w:autoSpaceDE w:val="0"/>
              <w:autoSpaceDN w:val="0"/>
              <w:adjustRightInd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не более 5 000,00</w:t>
            </w:r>
          </w:p>
        </w:tc>
      </w:tr>
      <w:tr w14:paraId="408BA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51" w:type="dxa"/>
            <w:vAlign w:val="center"/>
          </w:tcPr>
          <w:p w14:paraId="3989A02D">
            <w:pPr>
              <w:autoSpaceDE w:val="0"/>
              <w:autoSpaceDN w:val="0"/>
              <w:adjustRightInd w:val="0"/>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15</w:t>
            </w:r>
          </w:p>
        </w:tc>
        <w:tc>
          <w:tcPr>
            <w:tcW w:w="3856" w:type="dxa"/>
            <w:vAlign w:val="center"/>
          </w:tcPr>
          <w:p w14:paraId="6FD2C12D">
            <w:pPr>
              <w:autoSpaceDE w:val="0"/>
              <w:autoSpaceDN w:val="0"/>
              <w:adjustRightInd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Кабель </w:t>
            </w:r>
            <w:r>
              <w:rPr>
                <w:rFonts w:ascii="Times New Roman" w:hAnsi="Times New Roman" w:eastAsia="Times New Roman" w:cs="Times New Roman"/>
                <w:sz w:val="28"/>
                <w:szCs w:val="28"/>
                <w:lang w:val="en-US" w:eastAsia="ru-RU"/>
              </w:rPr>
              <w:t>XLR</w:t>
            </w:r>
            <w:r>
              <w:rPr>
                <w:rFonts w:ascii="Times New Roman" w:hAnsi="Times New Roman" w:eastAsia="Times New Roman" w:cs="Times New Roman"/>
                <w:sz w:val="28"/>
                <w:szCs w:val="28"/>
                <w:lang w:eastAsia="ru-RU"/>
              </w:rPr>
              <w:t>-</w:t>
            </w:r>
            <w:r>
              <w:rPr>
                <w:rFonts w:ascii="Times New Roman" w:hAnsi="Times New Roman" w:eastAsia="Times New Roman" w:cs="Times New Roman"/>
                <w:sz w:val="28"/>
                <w:szCs w:val="28"/>
                <w:lang w:val="en-US" w:eastAsia="ru-RU"/>
              </w:rPr>
              <w:t>XLR</w:t>
            </w:r>
            <w:r>
              <w:rPr>
                <w:rFonts w:ascii="Times New Roman" w:hAnsi="Times New Roman" w:eastAsia="Times New Roman" w:cs="Times New Roman"/>
                <w:sz w:val="28"/>
                <w:szCs w:val="28"/>
                <w:lang w:eastAsia="ru-RU"/>
              </w:rPr>
              <w:t xml:space="preserve"> (не менее 2 метров)</w:t>
            </w:r>
          </w:p>
        </w:tc>
        <w:tc>
          <w:tcPr>
            <w:tcW w:w="2933" w:type="dxa"/>
            <w:vAlign w:val="center"/>
          </w:tcPr>
          <w:p w14:paraId="0349CB98">
            <w:pPr>
              <w:autoSpaceDE w:val="0"/>
              <w:autoSpaceDN w:val="0"/>
              <w:adjustRightInd w:val="0"/>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не менее 6</w:t>
            </w:r>
          </w:p>
        </w:tc>
        <w:tc>
          <w:tcPr>
            <w:tcW w:w="2127" w:type="dxa"/>
            <w:vAlign w:val="center"/>
          </w:tcPr>
          <w:p w14:paraId="41143D97">
            <w:pPr>
              <w:autoSpaceDE w:val="0"/>
              <w:autoSpaceDN w:val="0"/>
              <w:adjustRightInd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не более 2 500,00</w:t>
            </w:r>
          </w:p>
        </w:tc>
      </w:tr>
      <w:tr w14:paraId="48744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51" w:type="dxa"/>
            <w:vAlign w:val="center"/>
          </w:tcPr>
          <w:p w14:paraId="247959C1">
            <w:pPr>
              <w:autoSpaceDE w:val="0"/>
              <w:autoSpaceDN w:val="0"/>
              <w:adjustRightInd w:val="0"/>
              <w:spacing w:after="0" w:line="240" w:lineRule="auto"/>
              <w:jc w:val="center"/>
              <w:rPr>
                <w:rFonts w:hint="default" w:ascii="Times New Roman" w:hAnsi="Times New Roman" w:eastAsia="Times New Roman" w:cs="Times New Roman"/>
                <w:sz w:val="28"/>
                <w:szCs w:val="28"/>
                <w:lang w:val="en-US" w:eastAsia="ru-RU"/>
              </w:rPr>
            </w:pPr>
            <w:r>
              <w:rPr>
                <w:rFonts w:hint="default" w:ascii="Times New Roman" w:hAnsi="Times New Roman" w:eastAsia="Times New Roman" w:cs="Times New Roman"/>
                <w:sz w:val="28"/>
                <w:szCs w:val="28"/>
                <w:lang w:val="en-US" w:eastAsia="ru-RU"/>
              </w:rPr>
              <w:t>16</w:t>
            </w:r>
          </w:p>
        </w:tc>
        <w:tc>
          <w:tcPr>
            <w:tcW w:w="3856" w:type="dxa"/>
            <w:vAlign w:val="center"/>
          </w:tcPr>
          <w:p w14:paraId="4D239AFB">
            <w:pPr>
              <w:autoSpaceDE w:val="0"/>
              <w:autoSpaceDN w:val="0"/>
              <w:adjustRightInd w:val="0"/>
              <w:spacing w:after="0" w:line="240" w:lineRule="auto"/>
              <w:rPr>
                <w:rFonts w:hint="default" w:ascii="Times New Roman" w:hAnsi="Times New Roman" w:eastAsia="Times New Roman" w:cs="Times New Roman"/>
                <w:sz w:val="28"/>
                <w:szCs w:val="28"/>
                <w:lang w:val="en-US" w:eastAsia="ru-RU"/>
              </w:rPr>
            </w:pPr>
            <w:r>
              <w:rPr>
                <w:rFonts w:ascii="Times New Roman" w:hAnsi="Times New Roman" w:eastAsia="Times New Roman" w:cs="Times New Roman"/>
                <w:sz w:val="28"/>
                <w:szCs w:val="28"/>
                <w:lang w:eastAsia="ru-RU"/>
              </w:rPr>
              <w:t>Аккумулятор</w:t>
            </w:r>
            <w:r>
              <w:rPr>
                <w:rFonts w:hint="default" w:ascii="Times New Roman" w:hAnsi="Times New Roman" w:eastAsia="Times New Roman" w:cs="Times New Roman"/>
                <w:sz w:val="28"/>
                <w:szCs w:val="28"/>
                <w:lang w:val="en-US" w:eastAsia="ru-RU"/>
              </w:rPr>
              <w:t xml:space="preserve"> для ИБП (источника бесперебойного питания)</w:t>
            </w:r>
          </w:p>
        </w:tc>
        <w:tc>
          <w:tcPr>
            <w:tcW w:w="2933" w:type="dxa"/>
            <w:vAlign w:val="center"/>
          </w:tcPr>
          <w:p w14:paraId="64E6E07A">
            <w:pPr>
              <w:autoSpaceDE w:val="0"/>
              <w:autoSpaceDN w:val="0"/>
              <w:adjustRightInd w:val="0"/>
              <w:spacing w:after="0" w:line="240" w:lineRule="auto"/>
              <w:jc w:val="center"/>
              <w:rPr>
                <w:rFonts w:hint="default" w:ascii="Times New Roman" w:hAnsi="Times New Roman" w:eastAsia="Times New Roman" w:cs="Times New Roman"/>
                <w:sz w:val="28"/>
                <w:szCs w:val="28"/>
                <w:lang w:val="en-US" w:eastAsia="ru-RU"/>
              </w:rPr>
            </w:pPr>
            <w:r>
              <w:rPr>
                <w:rFonts w:ascii="Times New Roman" w:hAnsi="Times New Roman" w:eastAsia="Times New Roman" w:cs="Times New Roman"/>
                <w:sz w:val="28"/>
                <w:szCs w:val="28"/>
                <w:lang w:eastAsia="ru-RU"/>
              </w:rPr>
              <w:t>не</w:t>
            </w:r>
            <w:r>
              <w:rPr>
                <w:rFonts w:hint="default" w:ascii="Times New Roman" w:hAnsi="Times New Roman" w:eastAsia="Times New Roman" w:cs="Times New Roman"/>
                <w:sz w:val="28"/>
                <w:szCs w:val="28"/>
                <w:lang w:val="en-US" w:eastAsia="ru-RU"/>
              </w:rPr>
              <w:t xml:space="preserve"> менее 6</w:t>
            </w:r>
          </w:p>
        </w:tc>
        <w:tc>
          <w:tcPr>
            <w:tcW w:w="2127" w:type="dxa"/>
            <w:vAlign w:val="center"/>
          </w:tcPr>
          <w:p w14:paraId="23C8D538">
            <w:pPr>
              <w:autoSpaceDE w:val="0"/>
              <w:autoSpaceDN w:val="0"/>
              <w:adjustRightInd w:val="0"/>
              <w:spacing w:after="0" w:line="240" w:lineRule="auto"/>
              <w:rPr>
                <w:rFonts w:hint="default" w:ascii="Times New Roman" w:hAnsi="Times New Roman" w:eastAsia="Times New Roman" w:cs="Times New Roman"/>
                <w:sz w:val="28"/>
                <w:szCs w:val="28"/>
                <w:lang w:val="en-US" w:eastAsia="ru-RU"/>
              </w:rPr>
            </w:pPr>
            <w:r>
              <w:rPr>
                <w:rFonts w:ascii="Times New Roman" w:hAnsi="Times New Roman" w:eastAsia="Times New Roman" w:cs="Times New Roman"/>
                <w:sz w:val="28"/>
                <w:szCs w:val="28"/>
                <w:lang w:eastAsia="ru-RU"/>
              </w:rPr>
              <w:t>не</w:t>
            </w:r>
            <w:r>
              <w:rPr>
                <w:rFonts w:hint="default" w:ascii="Times New Roman" w:hAnsi="Times New Roman" w:eastAsia="Times New Roman" w:cs="Times New Roman"/>
                <w:sz w:val="28"/>
                <w:szCs w:val="28"/>
                <w:lang w:val="en-US" w:eastAsia="ru-RU"/>
              </w:rPr>
              <w:t xml:space="preserve"> более 5 000,00</w:t>
            </w:r>
          </w:p>
        </w:tc>
      </w:tr>
    </w:tbl>
    <w:p w14:paraId="45EC0443">
      <w:pPr>
        <w:autoSpaceDE w:val="0"/>
        <w:autoSpaceDN w:val="0"/>
        <w:adjustRightInd w:val="0"/>
        <w:jc w:val="both"/>
        <w:rPr>
          <w:rFonts w:ascii="Times New Roman" w:hAnsi="Times New Roman" w:cs="Times New Roman"/>
          <w:bCs/>
          <w:sz w:val="24"/>
          <w:szCs w:val="28"/>
        </w:rPr>
      </w:pPr>
      <w:r>
        <w:rPr>
          <w:rFonts w:ascii="Times New Roman" w:hAnsi="Times New Roman" w:cs="Times New Roman"/>
          <w:bCs/>
          <w:sz w:val="24"/>
          <w:szCs w:val="28"/>
        </w:rPr>
        <w:t>*Наименование запасных частей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Pr>
          <w:rFonts w:ascii="Times New Roman" w:hAnsi="Times New Roman" w:cs="Times New Roman"/>
          <w:sz w:val="24"/>
          <w:szCs w:val="24"/>
        </w:rPr>
        <w:t xml:space="preserve"> и подведомственного ему областного казенного учреждения</w:t>
      </w:r>
      <w:r>
        <w:rPr>
          <w:rFonts w:ascii="Times New Roman" w:hAnsi="Times New Roman" w:cs="Times New Roman"/>
          <w:bCs/>
          <w:sz w:val="24"/>
          <w:szCs w:val="28"/>
        </w:rPr>
        <w:t>.</w:t>
      </w:r>
    </w:p>
    <w:p w14:paraId="1BD39B9F">
      <w:pPr>
        <w:pStyle w:val="8"/>
        <w:spacing w:line="360" w:lineRule="auto"/>
        <w:ind w:firstLine="709"/>
        <w:jc w:val="both"/>
        <w:rPr>
          <w:rFonts w:ascii="Times New Roman" w:hAnsi="Times New Roman" w:cs="Times New Roman"/>
          <w:bCs/>
          <w:sz w:val="28"/>
          <w:szCs w:val="28"/>
        </w:rPr>
      </w:pPr>
      <w:r>
        <w:rPr>
          <w:rFonts w:ascii="Times New Roman" w:hAnsi="Times New Roman" w:cs="Times New Roman"/>
          <w:sz w:val="28"/>
          <w:szCs w:val="28"/>
        </w:rPr>
        <w:t xml:space="preserve"> </w:t>
      </w:r>
      <w:r>
        <w:rPr>
          <w:rFonts w:ascii="Times New Roman" w:hAnsi="Times New Roman" w:cs="Times New Roman"/>
          <w:bCs/>
          <w:sz w:val="28"/>
          <w:szCs w:val="28"/>
        </w:rPr>
        <w:t>5.4. Затраты на приобретение носителей информации, в том числе магнитных и оптических носителей информации (</w:t>
      </w:r>
      <w:r>
        <w:rPr>
          <w:rFonts w:ascii="Times New Roman" w:hAnsi="Times New Roman" w:cs="Times New Roman"/>
          <w:position w:val="-12"/>
          <w:sz w:val="28"/>
          <w:szCs w:val="28"/>
        </w:rPr>
        <w:drawing>
          <wp:inline distT="0" distB="0" distL="0" distR="0">
            <wp:extent cx="309245" cy="309245"/>
            <wp:effectExtent l="0" t="0" r="0" b="0"/>
            <wp:docPr id="16"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42"/>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a:xfrm>
                      <a:off x="0" y="0"/>
                      <a:ext cx="309245" cy="309245"/>
                    </a:xfrm>
                    <a:prstGeom prst="rect">
                      <a:avLst/>
                    </a:prstGeom>
                    <a:noFill/>
                    <a:ln>
                      <a:noFill/>
                    </a:ln>
                  </pic:spPr>
                </pic:pic>
              </a:graphicData>
            </a:graphic>
          </wp:inline>
        </w:drawing>
      </w:r>
      <w:r>
        <w:rPr>
          <w:rFonts w:ascii="Times New Roman" w:hAnsi="Times New Roman" w:cs="Times New Roman"/>
          <w:bCs/>
          <w:sz w:val="28"/>
          <w:szCs w:val="28"/>
        </w:rPr>
        <w:t>), определяемые по формуле:</w:t>
      </w:r>
      <w:r>
        <w:rPr>
          <w:rFonts w:ascii="Times New Roman" w:hAnsi="Times New Roman" w:cs="Times New Roman"/>
          <w:position w:val="-28"/>
          <w:sz w:val="28"/>
          <w:szCs w:val="28"/>
        </w:rPr>
        <w:drawing>
          <wp:inline distT="0" distB="0" distL="0" distR="0">
            <wp:extent cx="1816100" cy="605155"/>
            <wp:effectExtent l="0" t="0" r="0" b="4445"/>
            <wp:docPr id="17"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43"/>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a:xfrm>
                      <a:off x="0" y="0"/>
                      <a:ext cx="1816100" cy="605155"/>
                    </a:xfrm>
                    <a:prstGeom prst="rect">
                      <a:avLst/>
                    </a:prstGeom>
                    <a:noFill/>
                    <a:ln>
                      <a:noFill/>
                    </a:ln>
                  </pic:spPr>
                </pic:pic>
              </a:graphicData>
            </a:graphic>
          </wp:inline>
        </w:drawing>
      </w:r>
      <w:r>
        <w:rPr>
          <w:rFonts w:ascii="Times New Roman" w:hAnsi="Times New Roman" w:cs="Times New Roman"/>
          <w:bCs/>
          <w:sz w:val="28"/>
          <w:szCs w:val="28"/>
        </w:rPr>
        <w:t>, где:</w:t>
      </w:r>
    </w:p>
    <w:p w14:paraId="2005F2DD">
      <w:pPr>
        <w:autoSpaceDE w:val="0"/>
        <w:autoSpaceDN w:val="0"/>
        <w:adjustRightInd w:val="0"/>
        <w:spacing w:after="0" w:line="360" w:lineRule="auto"/>
        <w:ind w:firstLine="709"/>
        <w:rPr>
          <w:rFonts w:ascii="Times New Roman" w:hAnsi="Times New Roman" w:eastAsia="Times New Roman" w:cs="Times New Roman"/>
          <w:bCs/>
          <w:sz w:val="28"/>
          <w:szCs w:val="28"/>
          <w:lang w:eastAsia="ru-RU"/>
        </w:rPr>
      </w:pPr>
      <w:r>
        <w:rPr>
          <w:rFonts w:ascii="Times New Roman" w:hAnsi="Times New Roman" w:eastAsia="Times New Roman" w:cs="Times New Roman"/>
          <w:position w:val="-12"/>
          <w:sz w:val="28"/>
          <w:szCs w:val="28"/>
          <w:lang w:eastAsia="ru-RU"/>
        </w:rPr>
        <w:drawing>
          <wp:inline distT="0" distB="0" distL="0" distR="0">
            <wp:extent cx="450850" cy="309245"/>
            <wp:effectExtent l="0" t="0" r="6350" b="0"/>
            <wp:docPr id="18"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44"/>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a:xfrm>
                      <a:off x="0" y="0"/>
                      <a:ext cx="450850" cy="309245"/>
                    </a:xfrm>
                    <a:prstGeom prst="rect">
                      <a:avLst/>
                    </a:prstGeom>
                    <a:noFill/>
                    <a:ln>
                      <a:noFill/>
                    </a:ln>
                  </pic:spPr>
                </pic:pic>
              </a:graphicData>
            </a:graphic>
          </wp:inline>
        </w:drawing>
      </w:r>
      <w:r>
        <w:rPr>
          <w:rFonts w:ascii="Times New Roman" w:hAnsi="Times New Roman" w:eastAsia="Times New Roman" w:cs="Times New Roman"/>
          <w:bCs/>
          <w:sz w:val="28"/>
          <w:szCs w:val="28"/>
          <w:lang w:eastAsia="ru-RU"/>
        </w:rPr>
        <w:t xml:space="preserve"> –количество носителей информации по i-й должности;</w:t>
      </w:r>
    </w:p>
    <w:p w14:paraId="1F42C26F">
      <w:pPr>
        <w:pStyle w:val="8"/>
        <w:spacing w:line="360" w:lineRule="auto"/>
        <w:ind w:firstLine="709"/>
        <w:jc w:val="both"/>
        <w:rPr>
          <w:rFonts w:ascii="Times New Roman" w:hAnsi="Times New Roman" w:cs="Times New Roman"/>
          <w:sz w:val="28"/>
          <w:szCs w:val="28"/>
        </w:rPr>
      </w:pPr>
      <w:r>
        <w:rPr>
          <w:rFonts w:ascii="Times New Roman" w:hAnsi="Times New Roman" w:cs="Times New Roman"/>
          <w:position w:val="-12"/>
          <w:sz w:val="28"/>
          <w:szCs w:val="28"/>
        </w:rPr>
        <w:drawing>
          <wp:inline distT="0" distB="0" distL="0" distR="0">
            <wp:extent cx="386080" cy="309245"/>
            <wp:effectExtent l="0" t="0" r="0" b="0"/>
            <wp:docPr id="19"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45"/>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a:xfrm>
                      <a:off x="0" y="0"/>
                      <a:ext cx="386080" cy="309245"/>
                    </a:xfrm>
                    <a:prstGeom prst="rect">
                      <a:avLst/>
                    </a:prstGeom>
                    <a:noFill/>
                    <a:ln>
                      <a:noFill/>
                    </a:ln>
                  </pic:spPr>
                </pic:pic>
              </a:graphicData>
            </a:graphic>
          </wp:inline>
        </w:drawing>
      </w:r>
      <w:r>
        <w:rPr>
          <w:rFonts w:ascii="Times New Roman" w:hAnsi="Times New Roman" w:cs="Times New Roman"/>
          <w:bCs/>
          <w:sz w:val="28"/>
          <w:szCs w:val="28"/>
        </w:rPr>
        <w:t xml:space="preserve"> –цена одной единицы носителя информации </w:t>
      </w:r>
      <w:r>
        <w:rPr>
          <w:rFonts w:ascii="Times New Roman" w:hAnsi="Times New Roman" w:cs="Times New Roman"/>
          <w:sz w:val="28"/>
          <w:szCs w:val="28"/>
        </w:rPr>
        <w:t>по i-й должности.</w:t>
      </w:r>
    </w:p>
    <w:p w14:paraId="206C2075">
      <w:pPr>
        <w:pStyle w:val="8"/>
        <w:spacing w:line="360" w:lineRule="auto"/>
        <w:jc w:val="right"/>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№23.                                                                                                     Таблица № 23</w:t>
      </w:r>
    </w:p>
    <w:p w14:paraId="6F25EDBC">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носителей информации, в том числе магнитных и оптических носителей информации</w:t>
      </w:r>
    </w:p>
    <w:p w14:paraId="1D1E3F35">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p>
    <w:tbl>
      <w:tblPr>
        <w:tblStyle w:val="41"/>
        <w:tblW w:w="950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6"/>
        <w:gridCol w:w="3544"/>
        <w:gridCol w:w="3118"/>
        <w:gridCol w:w="2244"/>
      </w:tblGrid>
      <w:tr w14:paraId="1D570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596" w:type="dxa"/>
            <w:vAlign w:val="center"/>
          </w:tcPr>
          <w:p w14:paraId="2C6B9C1D">
            <w:pPr>
              <w:autoSpaceDE w:val="0"/>
              <w:autoSpaceDN w:val="0"/>
              <w:adjustRightInd w:val="0"/>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п/п</w:t>
            </w:r>
          </w:p>
        </w:tc>
        <w:tc>
          <w:tcPr>
            <w:tcW w:w="3544" w:type="dxa"/>
            <w:vAlign w:val="center"/>
          </w:tcPr>
          <w:p w14:paraId="3750BF6E">
            <w:pPr>
              <w:autoSpaceDE w:val="0"/>
              <w:autoSpaceDN w:val="0"/>
              <w:adjustRightInd w:val="0"/>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Тип устройства</w:t>
            </w:r>
          </w:p>
        </w:tc>
        <w:tc>
          <w:tcPr>
            <w:tcW w:w="3118" w:type="dxa"/>
            <w:vAlign w:val="center"/>
          </w:tcPr>
          <w:p w14:paraId="2FCCAFF6">
            <w:pPr>
              <w:autoSpaceDE w:val="0"/>
              <w:autoSpaceDN w:val="0"/>
              <w:adjustRightInd w:val="0"/>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Норматив количества (штук)</w:t>
            </w:r>
          </w:p>
        </w:tc>
        <w:tc>
          <w:tcPr>
            <w:tcW w:w="2244" w:type="dxa"/>
            <w:vAlign w:val="center"/>
          </w:tcPr>
          <w:p w14:paraId="5A873167">
            <w:pPr>
              <w:autoSpaceDE w:val="0"/>
              <w:autoSpaceDN w:val="0"/>
              <w:adjustRightInd w:val="0"/>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Норматив цена</w:t>
            </w:r>
          </w:p>
          <w:p w14:paraId="0F7F2FBC">
            <w:pPr>
              <w:autoSpaceDE w:val="0"/>
              <w:autoSpaceDN w:val="0"/>
              <w:adjustRightInd w:val="0"/>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за единицу, руб.</w:t>
            </w:r>
          </w:p>
        </w:tc>
      </w:tr>
      <w:tr w14:paraId="112B0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596" w:type="dxa"/>
            <w:vAlign w:val="center"/>
          </w:tcPr>
          <w:p w14:paraId="2ECE6385">
            <w:pPr>
              <w:autoSpaceDE w:val="0"/>
              <w:autoSpaceDN w:val="0"/>
              <w:adjustRightInd w:val="0"/>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w:t>
            </w:r>
          </w:p>
        </w:tc>
        <w:tc>
          <w:tcPr>
            <w:tcW w:w="3544" w:type="dxa"/>
            <w:vAlign w:val="center"/>
          </w:tcPr>
          <w:p w14:paraId="3ECCBFD5">
            <w:pPr>
              <w:autoSpaceDE w:val="0"/>
              <w:autoSpaceDN w:val="0"/>
              <w:adjustRightInd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val="en-US" w:eastAsia="ru-RU"/>
              </w:rPr>
              <w:t>Flash</w:t>
            </w:r>
            <w:r>
              <w:rPr>
                <w:rFonts w:ascii="Times New Roman" w:hAnsi="Times New Roman" w:eastAsia="Times New Roman" w:cs="Times New Roman"/>
                <w:sz w:val="28"/>
                <w:szCs w:val="28"/>
                <w:lang w:eastAsia="ru-RU"/>
              </w:rPr>
              <w:t>-карты и прочие накопители емкостью не более 32 Гб</w:t>
            </w:r>
          </w:p>
        </w:tc>
        <w:tc>
          <w:tcPr>
            <w:tcW w:w="3118" w:type="dxa"/>
            <w:vAlign w:val="center"/>
          </w:tcPr>
          <w:p w14:paraId="4FE8120A">
            <w:pPr>
              <w:autoSpaceDE w:val="0"/>
              <w:autoSpaceDN w:val="0"/>
              <w:adjustRightInd w:val="0"/>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не более 1 на работника</w:t>
            </w:r>
          </w:p>
        </w:tc>
        <w:tc>
          <w:tcPr>
            <w:tcW w:w="2244" w:type="dxa"/>
            <w:vAlign w:val="center"/>
          </w:tcPr>
          <w:p w14:paraId="1508E44D">
            <w:pPr>
              <w:autoSpaceDE w:val="0"/>
              <w:autoSpaceDN w:val="0"/>
              <w:adjustRightInd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не более 2 000,00</w:t>
            </w:r>
          </w:p>
        </w:tc>
      </w:tr>
      <w:tr w14:paraId="564A9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596" w:type="dxa"/>
            <w:vAlign w:val="center"/>
          </w:tcPr>
          <w:p w14:paraId="3B0D08AD">
            <w:pPr>
              <w:autoSpaceDE w:val="0"/>
              <w:autoSpaceDN w:val="0"/>
              <w:adjustRightInd w:val="0"/>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w:t>
            </w:r>
          </w:p>
        </w:tc>
        <w:tc>
          <w:tcPr>
            <w:tcW w:w="3544" w:type="dxa"/>
            <w:vAlign w:val="center"/>
          </w:tcPr>
          <w:p w14:paraId="7E12A731">
            <w:pPr>
              <w:autoSpaceDE w:val="0"/>
              <w:autoSpaceDN w:val="0"/>
              <w:adjustRightInd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Диски</w:t>
            </w:r>
          </w:p>
        </w:tc>
        <w:tc>
          <w:tcPr>
            <w:tcW w:w="3118" w:type="dxa"/>
            <w:vAlign w:val="center"/>
          </w:tcPr>
          <w:p w14:paraId="2CA4F48B">
            <w:pPr>
              <w:autoSpaceDE w:val="0"/>
              <w:autoSpaceDN w:val="0"/>
              <w:adjustRightInd w:val="0"/>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не более 5 на работника</w:t>
            </w:r>
          </w:p>
        </w:tc>
        <w:tc>
          <w:tcPr>
            <w:tcW w:w="2244" w:type="dxa"/>
            <w:vAlign w:val="center"/>
          </w:tcPr>
          <w:p w14:paraId="099CA35B">
            <w:pPr>
              <w:autoSpaceDE w:val="0"/>
              <w:autoSpaceDN w:val="0"/>
              <w:adjustRightInd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не более</w:t>
            </w:r>
          </w:p>
          <w:p w14:paraId="4F464825">
            <w:pPr>
              <w:autoSpaceDE w:val="0"/>
              <w:autoSpaceDN w:val="0"/>
              <w:adjustRightInd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90,00</w:t>
            </w:r>
          </w:p>
        </w:tc>
      </w:tr>
      <w:tr w14:paraId="7841B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596" w:type="dxa"/>
            <w:vAlign w:val="center"/>
          </w:tcPr>
          <w:p w14:paraId="05966F45">
            <w:pPr>
              <w:autoSpaceDE w:val="0"/>
              <w:autoSpaceDN w:val="0"/>
              <w:adjustRightInd w:val="0"/>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w:t>
            </w:r>
          </w:p>
        </w:tc>
        <w:tc>
          <w:tcPr>
            <w:tcW w:w="3544" w:type="dxa"/>
            <w:vAlign w:val="center"/>
          </w:tcPr>
          <w:p w14:paraId="77376BB3">
            <w:pPr>
              <w:autoSpaceDE w:val="0"/>
              <w:autoSpaceDN w:val="0"/>
              <w:adjustRightInd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Модуль памяти</w:t>
            </w:r>
          </w:p>
        </w:tc>
        <w:tc>
          <w:tcPr>
            <w:tcW w:w="3118" w:type="dxa"/>
            <w:vAlign w:val="center"/>
          </w:tcPr>
          <w:p w14:paraId="242BB6BA">
            <w:pPr>
              <w:autoSpaceDE w:val="0"/>
              <w:autoSpaceDN w:val="0"/>
              <w:adjustRightInd w:val="0"/>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не более 1 на работника</w:t>
            </w:r>
          </w:p>
        </w:tc>
        <w:tc>
          <w:tcPr>
            <w:tcW w:w="2244" w:type="dxa"/>
            <w:vAlign w:val="center"/>
          </w:tcPr>
          <w:p w14:paraId="3C0DCB6C">
            <w:pPr>
              <w:autoSpaceDE w:val="0"/>
              <w:autoSpaceDN w:val="0"/>
              <w:adjustRightInd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не более 2 000,00</w:t>
            </w:r>
          </w:p>
        </w:tc>
      </w:tr>
      <w:tr w14:paraId="74139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596" w:type="dxa"/>
            <w:vAlign w:val="center"/>
          </w:tcPr>
          <w:p w14:paraId="0D1004D0">
            <w:pPr>
              <w:autoSpaceDE w:val="0"/>
              <w:autoSpaceDN w:val="0"/>
              <w:adjustRightInd w:val="0"/>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w:t>
            </w:r>
          </w:p>
        </w:tc>
        <w:tc>
          <w:tcPr>
            <w:tcW w:w="3544" w:type="dxa"/>
            <w:vAlign w:val="center"/>
          </w:tcPr>
          <w:p w14:paraId="3A955849">
            <w:pPr>
              <w:autoSpaceDE w:val="0"/>
              <w:autoSpaceDN w:val="0"/>
              <w:adjustRightInd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Жесткий диск</w:t>
            </w:r>
          </w:p>
        </w:tc>
        <w:tc>
          <w:tcPr>
            <w:tcW w:w="3118" w:type="dxa"/>
            <w:vAlign w:val="center"/>
          </w:tcPr>
          <w:p w14:paraId="0E68AF41">
            <w:pPr>
              <w:autoSpaceDE w:val="0"/>
              <w:autoSpaceDN w:val="0"/>
              <w:adjustRightInd w:val="0"/>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не более 1 на работника</w:t>
            </w:r>
          </w:p>
        </w:tc>
        <w:tc>
          <w:tcPr>
            <w:tcW w:w="2244" w:type="dxa"/>
            <w:vAlign w:val="center"/>
          </w:tcPr>
          <w:p w14:paraId="61181612">
            <w:pPr>
              <w:autoSpaceDE w:val="0"/>
              <w:autoSpaceDN w:val="0"/>
              <w:adjustRightInd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не более 8 000,00</w:t>
            </w:r>
          </w:p>
        </w:tc>
      </w:tr>
      <w:tr w14:paraId="05319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596" w:type="dxa"/>
            <w:vAlign w:val="center"/>
          </w:tcPr>
          <w:p w14:paraId="2EE103B1">
            <w:pPr>
              <w:autoSpaceDE w:val="0"/>
              <w:autoSpaceDN w:val="0"/>
              <w:adjustRightInd w:val="0"/>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5</w:t>
            </w:r>
          </w:p>
        </w:tc>
        <w:tc>
          <w:tcPr>
            <w:tcW w:w="3544" w:type="dxa"/>
            <w:vAlign w:val="center"/>
          </w:tcPr>
          <w:p w14:paraId="095778CB">
            <w:pPr>
              <w:autoSpaceDE w:val="0"/>
              <w:autoSpaceDN w:val="0"/>
              <w:adjustRightInd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Внешний жесткий диск</w:t>
            </w:r>
          </w:p>
        </w:tc>
        <w:tc>
          <w:tcPr>
            <w:tcW w:w="3118" w:type="dxa"/>
            <w:vAlign w:val="center"/>
          </w:tcPr>
          <w:p w14:paraId="7BC1AEE7">
            <w:pPr>
              <w:autoSpaceDE w:val="0"/>
              <w:autoSpaceDN w:val="0"/>
              <w:adjustRightInd w:val="0"/>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не более 1 на работника</w:t>
            </w:r>
          </w:p>
        </w:tc>
        <w:tc>
          <w:tcPr>
            <w:tcW w:w="2244" w:type="dxa"/>
            <w:vAlign w:val="center"/>
          </w:tcPr>
          <w:p w14:paraId="505FC5BC">
            <w:pPr>
              <w:autoSpaceDE w:val="0"/>
              <w:autoSpaceDN w:val="0"/>
              <w:adjustRightInd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не более </w:t>
            </w:r>
            <w:r>
              <w:rPr>
                <w:rFonts w:hint="default" w:ascii="Times New Roman" w:hAnsi="Times New Roman" w:eastAsia="Times New Roman" w:cs="Times New Roman"/>
                <w:sz w:val="28"/>
                <w:szCs w:val="28"/>
                <w:lang w:val="en-US" w:eastAsia="ru-RU"/>
              </w:rPr>
              <w:t>15</w:t>
            </w:r>
            <w:r>
              <w:rPr>
                <w:rFonts w:ascii="Times New Roman" w:hAnsi="Times New Roman" w:eastAsia="Times New Roman" w:cs="Times New Roman"/>
                <w:sz w:val="28"/>
                <w:szCs w:val="28"/>
                <w:lang w:eastAsia="ru-RU"/>
              </w:rPr>
              <w:t> </w:t>
            </w:r>
            <w:r>
              <w:rPr>
                <w:rFonts w:hint="default" w:ascii="Times New Roman" w:hAnsi="Times New Roman" w:eastAsia="Times New Roman" w:cs="Times New Roman"/>
                <w:sz w:val="28"/>
                <w:szCs w:val="28"/>
                <w:lang w:val="en-US" w:eastAsia="ru-RU"/>
              </w:rPr>
              <w:t>0</w:t>
            </w:r>
            <w:r>
              <w:rPr>
                <w:rFonts w:ascii="Times New Roman" w:hAnsi="Times New Roman" w:eastAsia="Times New Roman" w:cs="Times New Roman"/>
                <w:sz w:val="28"/>
                <w:szCs w:val="28"/>
                <w:lang w:eastAsia="ru-RU"/>
              </w:rPr>
              <w:t>00,00</w:t>
            </w:r>
          </w:p>
        </w:tc>
      </w:tr>
    </w:tbl>
    <w:p w14:paraId="6E8F2A76">
      <w:pPr>
        <w:autoSpaceDE w:val="0"/>
        <w:autoSpaceDN w:val="0"/>
        <w:adjustRightInd w:val="0"/>
        <w:jc w:val="both"/>
        <w:rPr>
          <w:rFonts w:ascii="Times New Roman" w:hAnsi="Times New Roman" w:cs="Times New Roman"/>
          <w:bCs/>
          <w:sz w:val="24"/>
          <w:szCs w:val="28"/>
        </w:rPr>
      </w:pPr>
      <w:r>
        <w:rPr>
          <w:rFonts w:ascii="Times New Roman" w:hAnsi="Times New Roman" w:cs="Times New Roman"/>
          <w:bCs/>
          <w:sz w:val="24"/>
          <w:szCs w:val="28"/>
        </w:rPr>
        <w:t>*Количество и наименование носителей информации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Pr>
          <w:rFonts w:ascii="Times New Roman" w:hAnsi="Times New Roman" w:cs="Times New Roman"/>
          <w:sz w:val="24"/>
          <w:szCs w:val="24"/>
        </w:rPr>
        <w:t xml:space="preserve"> и подведомственного ему областного казенного учреждения</w:t>
      </w:r>
      <w:r>
        <w:rPr>
          <w:rFonts w:ascii="Times New Roman" w:hAnsi="Times New Roman" w:cs="Times New Roman"/>
          <w:bCs/>
          <w:sz w:val="24"/>
          <w:szCs w:val="28"/>
        </w:rPr>
        <w:t>.</w:t>
      </w:r>
    </w:p>
    <w:p w14:paraId="045BDB2B">
      <w:pPr>
        <w:pStyle w:val="8"/>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5.5. Нормативы, применяемые при расчете нормативных затрат на приобретение расходных материалов для содержания принтеров, многофункциональных устройств, копировальных аппаратов и иной оргтехники </w:t>
      </w:r>
      <w:r>
        <w:rPr>
          <w:rFonts w:ascii="Times New Roman" w:hAnsi="Times New Roman" w:cs="Times New Roman"/>
          <w:position w:val="-12"/>
          <w:sz w:val="28"/>
          <w:szCs w:val="28"/>
        </w:rPr>
        <w:drawing>
          <wp:inline distT="0" distB="0" distL="0" distR="0">
            <wp:extent cx="409575" cy="257175"/>
            <wp:effectExtent l="0" t="0" r="0" b="0"/>
            <wp:docPr id="131" name="Рисунок 131" descr="base_23792_85543_588"/>
            <wp:cNvGraphicFramePr/>
            <a:graphic xmlns:a="http://schemas.openxmlformats.org/drawingml/2006/main">
              <a:graphicData uri="http://schemas.openxmlformats.org/drawingml/2006/picture">
                <pic:pic xmlns:pic="http://schemas.openxmlformats.org/drawingml/2006/picture">
                  <pic:nvPicPr>
                    <pic:cNvPr id="131" name="Рисунок 131" descr="base_23792_85543_588"/>
                    <pic:cNvPicPr preferRelativeResize="0">
                      <a:picLocks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52F3BE5C">
      <w:pPr>
        <w:pStyle w:val="8"/>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drawing>
          <wp:inline distT="0" distB="0" distL="0" distR="0">
            <wp:extent cx="1409700" cy="257175"/>
            <wp:effectExtent l="0" t="0" r="0" b="0"/>
            <wp:docPr id="132" name="Рисунок 132" descr="base_23792_85543_589"/>
            <wp:cNvGraphicFramePr/>
            <a:graphic xmlns:a="http://schemas.openxmlformats.org/drawingml/2006/main">
              <a:graphicData uri="http://schemas.openxmlformats.org/drawingml/2006/picture">
                <pic:pic xmlns:pic="http://schemas.openxmlformats.org/drawingml/2006/picture">
                  <pic:nvPicPr>
                    <pic:cNvPr id="132" name="Рисунок 132" descr="base_23792_85543_589"/>
                    <pic:cNvPicPr preferRelativeResize="0">
                      <a:picLocks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a:xfrm>
                      <a:off x="0" y="0"/>
                      <a:ext cx="1409700" cy="257175"/>
                    </a:xfrm>
                    <a:prstGeom prst="rect">
                      <a:avLst/>
                    </a:prstGeom>
                    <a:noFill/>
                    <a:ln>
                      <a:noFill/>
                    </a:ln>
                  </pic:spPr>
                </pic:pic>
              </a:graphicData>
            </a:graphic>
          </wp:inline>
        </w:drawing>
      </w:r>
    </w:p>
    <w:p w14:paraId="6BDAC309">
      <w:pPr>
        <w:pStyle w:val="8"/>
        <w:spacing w:line="360" w:lineRule="auto"/>
        <w:ind w:firstLine="709"/>
        <w:jc w:val="both"/>
        <w:rPr>
          <w:rFonts w:ascii="Times New Roman" w:hAnsi="Times New Roman" w:cs="Times New Roman"/>
          <w:sz w:val="28"/>
          <w:szCs w:val="28"/>
        </w:rPr>
      </w:pPr>
      <w:r>
        <w:rPr>
          <w:rFonts w:ascii="Times New Roman" w:hAnsi="Times New Roman" w:cs="Times New Roman"/>
          <w:position w:val="-14"/>
          <w:sz w:val="28"/>
          <w:szCs w:val="28"/>
        </w:rPr>
        <w:drawing>
          <wp:inline distT="0" distB="0" distL="0" distR="0">
            <wp:extent cx="257175" cy="257175"/>
            <wp:effectExtent l="0" t="0" r="0" b="0"/>
            <wp:docPr id="133" name="Рисунок 133" descr="base_23792_85543_590"/>
            <wp:cNvGraphicFramePr/>
            <a:graphic xmlns:a="http://schemas.openxmlformats.org/drawingml/2006/main">
              <a:graphicData uri="http://schemas.openxmlformats.org/drawingml/2006/picture">
                <pic:pic xmlns:pic="http://schemas.openxmlformats.org/drawingml/2006/picture">
                  <pic:nvPicPr>
                    <pic:cNvPr id="133" name="Рисунок 133" descr="base_23792_85543_590"/>
                    <pic:cNvPicPr preferRelativeResize="0">
                      <a:picLocks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a:xfrm>
                      <a:off x="0" y="0"/>
                      <a:ext cx="257175" cy="257175"/>
                    </a:xfrm>
                    <a:prstGeom prst="rect">
                      <a:avLst/>
                    </a:prstGeom>
                    <a:noFill/>
                    <a:ln>
                      <a:noFill/>
                    </a:ln>
                  </pic:spPr>
                </pic:pic>
              </a:graphicData>
            </a:graphic>
          </wp:inline>
        </w:drawing>
      </w:r>
      <w:r>
        <w:rPr>
          <w:rFonts w:ascii="Times New Roman" w:hAnsi="Times New Roman" w:cs="Times New Roman"/>
          <w:sz w:val="28"/>
          <w:szCs w:val="28"/>
        </w:rPr>
        <w:t>– затраты на приобретение расходных материалов для принтеров, многофункциональных устройств, копировальных аппаратов и иной оргтехники;</w:t>
      </w:r>
    </w:p>
    <w:p w14:paraId="42791486">
      <w:pPr>
        <w:pStyle w:val="8"/>
        <w:spacing w:line="360" w:lineRule="auto"/>
        <w:ind w:firstLine="709"/>
        <w:jc w:val="both"/>
        <w:rPr>
          <w:rFonts w:ascii="Times New Roman" w:hAnsi="Times New Roman" w:cs="Times New Roman"/>
          <w:sz w:val="28"/>
          <w:szCs w:val="28"/>
        </w:rPr>
      </w:pPr>
      <w:r>
        <w:rPr>
          <w:rFonts w:ascii="Times New Roman" w:hAnsi="Times New Roman" w:cs="Times New Roman"/>
          <w:position w:val="-12"/>
          <w:sz w:val="28"/>
          <w:szCs w:val="28"/>
        </w:rPr>
        <w:drawing>
          <wp:inline distT="0" distB="0" distL="0" distR="0">
            <wp:extent cx="247650" cy="257175"/>
            <wp:effectExtent l="0" t="0" r="0" b="0"/>
            <wp:docPr id="134" name="Рисунок 134" descr="base_23792_85543_591"/>
            <wp:cNvGraphicFramePr/>
            <a:graphic xmlns:a="http://schemas.openxmlformats.org/drawingml/2006/main">
              <a:graphicData uri="http://schemas.openxmlformats.org/drawingml/2006/picture">
                <pic:pic xmlns:pic="http://schemas.openxmlformats.org/drawingml/2006/picture">
                  <pic:nvPicPr>
                    <pic:cNvPr id="134" name="Рисунок 134" descr="base_23792_85543_591"/>
                    <pic:cNvPicPr preferRelativeResize="0">
                      <a:picLocks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затраты на приобретение запасных частей для принтеров, многофункциональных устройств, копировальных аппаратов и иной оргтехники.</w:t>
      </w:r>
    </w:p>
    <w:p w14:paraId="3A153405">
      <w:pPr>
        <w:autoSpaceDE w:val="0"/>
        <w:autoSpaceDN w:val="0"/>
        <w:adjustRightInd w:val="0"/>
        <w:spacing w:after="0" w:line="36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5.5.1. Затраты на приобретение расходных материалов для принтеров, многофункциональных устройств</w:t>
      </w:r>
      <w:r>
        <w:rPr>
          <w:rFonts w:ascii="Times New Roman" w:hAnsi="Times New Roman" w:eastAsia="Times New Roman" w:cs="Times New Roman"/>
          <w:sz w:val="28"/>
          <w:szCs w:val="28"/>
          <w:lang w:eastAsia="ru-RU"/>
        </w:rPr>
        <w:t>, копировальных аппаратов и иной оргтехники</w:t>
      </w:r>
      <w:r>
        <w:rPr>
          <w:rFonts w:ascii="Times New Roman" w:hAnsi="Times New Roman" w:eastAsia="Times New Roman" w:cs="Times New Roman"/>
          <w:bCs/>
          <w:sz w:val="28"/>
          <w:szCs w:val="28"/>
          <w:lang w:eastAsia="ru-RU"/>
        </w:rPr>
        <w:t xml:space="preserve">  (</w:t>
      </w:r>
      <w:r>
        <w:rPr>
          <w:rFonts w:ascii="Times New Roman" w:hAnsi="Times New Roman" w:eastAsia="Times New Roman" w:cs="Times New Roman"/>
          <w:position w:val="-14"/>
          <w:sz w:val="28"/>
          <w:szCs w:val="28"/>
          <w:lang w:eastAsia="ru-RU"/>
        </w:rPr>
        <w:drawing>
          <wp:inline distT="0" distB="0" distL="0" distR="0">
            <wp:extent cx="309245" cy="334645"/>
            <wp:effectExtent l="0" t="0" r="0" b="0"/>
            <wp:docPr id="2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150"/>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a:xfrm>
                      <a:off x="0" y="0"/>
                      <a:ext cx="309245" cy="334645"/>
                    </a:xfrm>
                    <a:prstGeom prst="rect">
                      <a:avLst/>
                    </a:prstGeom>
                    <a:noFill/>
                    <a:ln>
                      <a:noFill/>
                    </a:ln>
                  </pic:spPr>
                </pic:pic>
              </a:graphicData>
            </a:graphic>
          </wp:inline>
        </w:drawing>
      </w:r>
      <w:r>
        <w:rPr>
          <w:rFonts w:ascii="Times New Roman" w:hAnsi="Times New Roman" w:eastAsia="Times New Roman" w:cs="Times New Roman"/>
          <w:bCs/>
          <w:sz w:val="28"/>
          <w:szCs w:val="28"/>
          <w:lang w:eastAsia="ru-RU"/>
        </w:rPr>
        <w:t>), определяемые по формуле:</w:t>
      </w:r>
    </w:p>
    <w:p w14:paraId="5A796767">
      <w:pPr>
        <w:autoSpaceDE w:val="0"/>
        <w:autoSpaceDN w:val="0"/>
        <w:adjustRightInd w:val="0"/>
        <w:spacing w:after="0" w:line="360" w:lineRule="auto"/>
        <w:ind w:firstLine="709"/>
        <w:jc w:val="center"/>
        <w:rPr>
          <w:rFonts w:ascii="Times New Roman" w:hAnsi="Times New Roman" w:eastAsia="Times New Roman" w:cs="Times New Roman"/>
          <w:bCs/>
          <w:sz w:val="28"/>
          <w:szCs w:val="28"/>
          <w:lang w:eastAsia="ru-RU"/>
        </w:rPr>
      </w:pPr>
      <w:r>
        <w:rPr>
          <w:rFonts w:ascii="Times New Roman" w:hAnsi="Times New Roman" w:eastAsia="Times New Roman" w:cs="Times New Roman"/>
          <w:position w:val="-28"/>
          <w:sz w:val="28"/>
          <w:szCs w:val="28"/>
          <w:lang w:eastAsia="ru-RU"/>
        </w:rPr>
        <w:drawing>
          <wp:inline distT="0" distB="0" distL="0" distR="0">
            <wp:extent cx="2511425" cy="605155"/>
            <wp:effectExtent l="0" t="0" r="3175" b="4445"/>
            <wp:docPr id="2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151"/>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a:xfrm>
                      <a:off x="0" y="0"/>
                      <a:ext cx="2511425" cy="605155"/>
                    </a:xfrm>
                    <a:prstGeom prst="rect">
                      <a:avLst/>
                    </a:prstGeom>
                    <a:noFill/>
                    <a:ln>
                      <a:noFill/>
                    </a:ln>
                  </pic:spPr>
                </pic:pic>
              </a:graphicData>
            </a:graphic>
          </wp:inline>
        </w:drawing>
      </w:r>
      <w:r>
        <w:rPr>
          <w:rFonts w:ascii="Times New Roman" w:hAnsi="Times New Roman" w:eastAsia="Times New Roman" w:cs="Times New Roman"/>
          <w:bCs/>
          <w:sz w:val="28"/>
          <w:szCs w:val="28"/>
          <w:lang w:eastAsia="ru-RU"/>
        </w:rPr>
        <w:t>, где:</w:t>
      </w:r>
    </w:p>
    <w:p w14:paraId="7E80AE1C">
      <w:pPr>
        <w:autoSpaceDE w:val="0"/>
        <w:autoSpaceDN w:val="0"/>
        <w:adjustRightInd w:val="0"/>
        <w:spacing w:after="0" w:line="36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position w:val="-14"/>
          <w:sz w:val="28"/>
          <w:szCs w:val="28"/>
          <w:lang w:eastAsia="ru-RU"/>
        </w:rPr>
        <w:drawing>
          <wp:inline distT="0" distB="0" distL="0" distR="0">
            <wp:extent cx="424815" cy="334645"/>
            <wp:effectExtent l="0" t="0" r="0" b="0"/>
            <wp:docPr id="2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152"/>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a:xfrm>
                      <a:off x="0" y="0"/>
                      <a:ext cx="424815" cy="334645"/>
                    </a:xfrm>
                    <a:prstGeom prst="rect">
                      <a:avLst/>
                    </a:prstGeom>
                    <a:noFill/>
                    <a:ln>
                      <a:noFill/>
                    </a:ln>
                  </pic:spPr>
                </pic:pic>
              </a:graphicData>
            </a:graphic>
          </wp:inline>
        </w:drawing>
      </w:r>
      <w:r>
        <w:rPr>
          <w:rFonts w:ascii="Times New Roman" w:hAnsi="Times New Roman" w:eastAsia="Times New Roman" w:cs="Times New Roman"/>
          <w:bCs/>
          <w:sz w:val="28"/>
          <w:szCs w:val="28"/>
          <w:lang w:eastAsia="ru-RU"/>
        </w:rPr>
        <w:t xml:space="preserve"> – </w:t>
      </w:r>
      <w:r>
        <w:rPr>
          <w:rFonts w:ascii="Times New Roman" w:hAnsi="Times New Roman" w:eastAsia="Times New Roman" w:cs="Times New Roman"/>
          <w:sz w:val="28"/>
          <w:szCs w:val="28"/>
          <w:lang w:eastAsia="ru-RU"/>
        </w:rPr>
        <w:t>фактическое количество принтеров, многофункциональных устройств, копировальных аппаратов и иной оргтехники по i-й должности</w:t>
      </w:r>
      <w:r>
        <w:rPr>
          <w:rFonts w:ascii="Times New Roman" w:hAnsi="Times New Roman" w:eastAsia="Times New Roman" w:cs="Times New Roman"/>
          <w:bCs/>
          <w:sz w:val="28"/>
          <w:szCs w:val="28"/>
          <w:lang w:eastAsia="ru-RU"/>
        </w:rPr>
        <w:t>;</w:t>
      </w:r>
    </w:p>
    <w:p w14:paraId="29A46441">
      <w:pPr>
        <w:autoSpaceDE w:val="0"/>
        <w:autoSpaceDN w:val="0"/>
        <w:adjustRightInd w:val="0"/>
        <w:spacing w:after="0" w:line="36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position w:val="-14"/>
          <w:sz w:val="28"/>
          <w:szCs w:val="28"/>
          <w:lang w:eastAsia="ru-RU"/>
        </w:rPr>
        <w:drawing>
          <wp:inline distT="0" distB="0" distL="0" distR="0">
            <wp:extent cx="450850" cy="334645"/>
            <wp:effectExtent l="0" t="0" r="6350" b="0"/>
            <wp:docPr id="2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153"/>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a:xfrm>
                      <a:off x="0" y="0"/>
                      <a:ext cx="450850" cy="334645"/>
                    </a:xfrm>
                    <a:prstGeom prst="rect">
                      <a:avLst/>
                    </a:prstGeom>
                    <a:noFill/>
                    <a:ln>
                      <a:noFill/>
                    </a:ln>
                  </pic:spPr>
                </pic:pic>
              </a:graphicData>
            </a:graphic>
          </wp:inline>
        </w:drawing>
      </w:r>
      <w:r>
        <w:rPr>
          <w:rFonts w:ascii="Times New Roman" w:hAnsi="Times New Roman" w:eastAsia="Times New Roman" w:cs="Times New Roman"/>
          <w:bCs/>
          <w:sz w:val="28"/>
          <w:szCs w:val="28"/>
          <w:lang w:eastAsia="ru-RU"/>
        </w:rPr>
        <w:t xml:space="preserve"> – </w:t>
      </w:r>
      <w:r>
        <w:rPr>
          <w:rFonts w:ascii="Times New Roman" w:hAnsi="Times New Roman" w:eastAsia="Times New Roman" w:cs="Times New Roman"/>
          <w:sz w:val="28"/>
          <w:szCs w:val="28"/>
          <w:lang w:eastAsia="ru-RU"/>
        </w:rPr>
        <w:t>норма потребления расходных материалов для принтеров, многофункциональных устройств, копировальных аппаратов и иной оргтехники по i-й должности</w:t>
      </w:r>
      <w:r>
        <w:rPr>
          <w:rFonts w:ascii="Times New Roman" w:hAnsi="Times New Roman" w:eastAsia="Times New Roman" w:cs="Times New Roman"/>
          <w:bCs/>
          <w:sz w:val="28"/>
          <w:szCs w:val="28"/>
          <w:lang w:eastAsia="ru-RU"/>
        </w:rPr>
        <w:t>;</w:t>
      </w:r>
    </w:p>
    <w:p w14:paraId="22A6E3A9">
      <w:pPr>
        <w:autoSpaceDE w:val="0"/>
        <w:autoSpaceDN w:val="0"/>
        <w:adjustRightInd w:val="0"/>
        <w:spacing w:after="0" w:line="36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position w:val="-14"/>
          <w:sz w:val="28"/>
          <w:szCs w:val="28"/>
          <w:lang w:eastAsia="ru-RU"/>
        </w:rPr>
        <w:drawing>
          <wp:inline distT="0" distB="0" distL="0" distR="0">
            <wp:extent cx="399415" cy="334645"/>
            <wp:effectExtent l="0" t="0" r="635" b="0"/>
            <wp:docPr id="2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154"/>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a:xfrm>
                      <a:off x="0" y="0"/>
                      <a:ext cx="399415" cy="334645"/>
                    </a:xfrm>
                    <a:prstGeom prst="rect">
                      <a:avLst/>
                    </a:prstGeom>
                    <a:noFill/>
                    <a:ln>
                      <a:noFill/>
                    </a:ln>
                  </pic:spPr>
                </pic:pic>
              </a:graphicData>
            </a:graphic>
          </wp:inline>
        </w:drawing>
      </w:r>
      <w:r>
        <w:rPr>
          <w:rFonts w:ascii="Times New Roman" w:hAnsi="Times New Roman" w:eastAsia="Times New Roman" w:cs="Times New Roman"/>
          <w:bCs/>
          <w:sz w:val="28"/>
          <w:szCs w:val="28"/>
          <w:lang w:eastAsia="ru-RU"/>
        </w:rPr>
        <w:t xml:space="preserve"> –</w:t>
      </w:r>
      <w:r>
        <w:rPr>
          <w:rFonts w:ascii="Times New Roman" w:hAnsi="Times New Roman" w:eastAsia="Times New Roman" w:cs="Times New Roman"/>
          <w:sz w:val="28"/>
          <w:szCs w:val="28"/>
          <w:lang w:eastAsia="ru-RU"/>
        </w:rPr>
        <w:t>цена расходного материала для принтеров, многофункциональных устройств, копировальных аппаратов и иной оргтехники по i-й должности</w:t>
      </w:r>
      <w:r>
        <w:rPr>
          <w:rFonts w:ascii="Times New Roman" w:hAnsi="Times New Roman" w:eastAsia="Times New Roman" w:cs="Times New Roman"/>
          <w:bCs/>
          <w:sz w:val="28"/>
          <w:szCs w:val="28"/>
          <w:lang w:eastAsia="ru-RU"/>
        </w:rPr>
        <w:t>.</w:t>
      </w:r>
    </w:p>
    <w:p w14:paraId="7778A042">
      <w:pPr>
        <w:autoSpaceDE w:val="0"/>
        <w:autoSpaceDN w:val="0"/>
        <w:adjustRightInd w:val="0"/>
        <w:spacing w:after="0" w:line="360" w:lineRule="auto"/>
        <w:ind w:firstLine="709"/>
        <w:jc w:val="both"/>
        <w:rPr>
          <w:rFonts w:ascii="Times New Roman" w:hAnsi="Times New Roman" w:eastAsia="Times New Roman" w:cs="Times New Roman"/>
          <w:bCs/>
          <w:sz w:val="28"/>
          <w:szCs w:val="28"/>
          <w:lang w:eastAsia="ru-RU"/>
        </w:rPr>
      </w:pPr>
      <w:r>
        <w:rPr>
          <w:rFonts w:ascii="Times New Roman" w:hAnsi="Times New Roman" w:cs="Times New Roman"/>
          <w:sz w:val="28"/>
          <w:szCs w:val="28"/>
        </w:rPr>
        <w:t>Расчет затрат производится в соответствии с нормативами согласно таблице №24.</w:t>
      </w:r>
    </w:p>
    <w:p w14:paraId="7B3AD195">
      <w:pPr>
        <w:autoSpaceDE w:val="0"/>
        <w:autoSpaceDN w:val="0"/>
        <w:adjustRightInd w:val="0"/>
        <w:spacing w:after="0" w:line="360" w:lineRule="auto"/>
        <w:ind w:firstLine="708"/>
        <w:jc w:val="right"/>
        <w:rPr>
          <w:rFonts w:ascii="Times New Roman" w:hAnsi="Times New Roman" w:eastAsia="Times New Roman" w:cs="Times New Roman"/>
          <w:sz w:val="28"/>
          <w:szCs w:val="28"/>
          <w:lang w:eastAsia="ru-RU"/>
        </w:rPr>
      </w:pPr>
      <w:r>
        <w:rPr>
          <w:rFonts w:ascii="Times New Roman" w:hAnsi="Times New Roman" w:cs="Times New Roman"/>
          <w:sz w:val="28"/>
          <w:szCs w:val="28"/>
        </w:rPr>
        <w:t>Таблица № 24</w:t>
      </w:r>
    </w:p>
    <w:p w14:paraId="6A8195E5">
      <w:pPr>
        <w:autoSpaceDE w:val="0"/>
        <w:autoSpaceDN w:val="0"/>
        <w:adjustRightInd w:val="0"/>
        <w:spacing w:after="0" w:line="360" w:lineRule="auto"/>
        <w:jc w:val="center"/>
        <w:rPr>
          <w:rFonts w:ascii="Times New Roman" w:hAnsi="Times New Roman" w:eastAsia="Times New Roman" w:cs="Times New Roman"/>
          <w:bCs/>
          <w:sz w:val="28"/>
          <w:szCs w:val="28"/>
          <w:lang w:eastAsia="ru-RU"/>
        </w:rPr>
      </w:pPr>
      <w:r>
        <w:rPr>
          <w:rFonts w:ascii="Times New Roman" w:hAnsi="Times New Roman" w:eastAsia="Times New Roman" w:cs="Times New Roman"/>
          <w:sz w:val="28"/>
          <w:szCs w:val="28"/>
          <w:lang w:eastAsia="ru-RU"/>
        </w:rPr>
        <w:t xml:space="preserve">Норматив затрат на приобретение </w:t>
      </w:r>
      <w:r>
        <w:rPr>
          <w:rFonts w:ascii="Times New Roman" w:hAnsi="Times New Roman" w:eastAsia="Times New Roman" w:cs="Times New Roman"/>
          <w:bCs/>
          <w:sz w:val="28"/>
          <w:szCs w:val="28"/>
          <w:lang w:eastAsia="ru-RU"/>
        </w:rPr>
        <w:t>расходных материалов для принтеров, многофункциональных устройств</w:t>
      </w:r>
      <w:r>
        <w:rPr>
          <w:rFonts w:ascii="Times New Roman" w:hAnsi="Times New Roman" w:eastAsia="Times New Roman" w:cs="Times New Roman"/>
          <w:sz w:val="28"/>
          <w:szCs w:val="28"/>
          <w:lang w:eastAsia="ru-RU"/>
        </w:rPr>
        <w:t>, копировальных аппаратов и иной оргтехники</w:t>
      </w:r>
      <w:r>
        <w:rPr>
          <w:rFonts w:ascii="Times New Roman" w:hAnsi="Times New Roman" w:cs="Times New Roman"/>
          <w:sz w:val="28"/>
          <w:szCs w:val="28"/>
        </w:rPr>
        <w:t xml:space="preserve">                                        </w:t>
      </w:r>
    </w:p>
    <w:tbl>
      <w:tblPr>
        <w:tblStyle w:val="3"/>
        <w:tblW w:w="963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5"/>
        <w:gridCol w:w="1560"/>
        <w:gridCol w:w="3091"/>
        <w:gridCol w:w="2832"/>
      </w:tblGrid>
      <w:tr w14:paraId="09F2E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2155" w:type="dxa"/>
            <w:tcBorders>
              <w:top w:val="single" w:color="auto" w:sz="4" w:space="0"/>
              <w:left w:val="single" w:color="auto" w:sz="4" w:space="0"/>
              <w:bottom w:val="single" w:color="auto" w:sz="4" w:space="0"/>
              <w:right w:val="single" w:color="auto" w:sz="4" w:space="0"/>
            </w:tcBorders>
          </w:tcPr>
          <w:p w14:paraId="08605B05">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Наименование расходного материала</w:t>
            </w:r>
          </w:p>
        </w:tc>
        <w:tc>
          <w:tcPr>
            <w:tcW w:w="1560" w:type="dxa"/>
            <w:tcBorders>
              <w:top w:val="single" w:color="auto" w:sz="4" w:space="0"/>
              <w:left w:val="single" w:color="auto" w:sz="4" w:space="0"/>
              <w:bottom w:val="single" w:color="auto" w:sz="4" w:space="0"/>
              <w:right w:val="single" w:color="auto" w:sz="4" w:space="0"/>
            </w:tcBorders>
          </w:tcPr>
          <w:p w14:paraId="7F8F29E0">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Ресурс</w:t>
            </w:r>
          </w:p>
        </w:tc>
        <w:tc>
          <w:tcPr>
            <w:tcW w:w="3091" w:type="dxa"/>
            <w:tcBorders>
              <w:top w:val="single" w:color="auto" w:sz="4" w:space="0"/>
              <w:left w:val="single" w:color="auto" w:sz="4" w:space="0"/>
              <w:bottom w:val="single" w:color="auto" w:sz="4" w:space="0"/>
              <w:right w:val="single" w:color="auto" w:sz="4" w:space="0"/>
            </w:tcBorders>
          </w:tcPr>
          <w:p w14:paraId="0A8CE14B">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Норматив количества</w:t>
            </w:r>
          </w:p>
          <w:p w14:paraId="59ABA062">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 1 ед. техники (в год)</w:t>
            </w:r>
          </w:p>
        </w:tc>
        <w:tc>
          <w:tcPr>
            <w:tcW w:w="2832" w:type="dxa"/>
            <w:tcBorders>
              <w:top w:val="single" w:color="auto" w:sz="4" w:space="0"/>
              <w:left w:val="single" w:color="auto" w:sz="4" w:space="0"/>
              <w:bottom w:val="single" w:color="auto" w:sz="4" w:space="0"/>
              <w:right w:val="single" w:color="auto" w:sz="4" w:space="0"/>
            </w:tcBorders>
          </w:tcPr>
          <w:p w14:paraId="2834BAE7">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Норматив цены за единицу (рублей)</w:t>
            </w:r>
          </w:p>
        </w:tc>
      </w:tr>
      <w:tr w14:paraId="7C3B4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2155" w:type="dxa"/>
            <w:tcBorders>
              <w:top w:val="single" w:color="auto" w:sz="4" w:space="0"/>
              <w:left w:val="single" w:color="auto" w:sz="4" w:space="0"/>
              <w:bottom w:val="single" w:color="auto" w:sz="4" w:space="0"/>
              <w:right w:val="single" w:color="auto" w:sz="4" w:space="0"/>
            </w:tcBorders>
          </w:tcPr>
          <w:p w14:paraId="46AB641F">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c>
          <w:tcPr>
            <w:tcW w:w="1560" w:type="dxa"/>
            <w:tcBorders>
              <w:top w:val="single" w:color="auto" w:sz="4" w:space="0"/>
              <w:left w:val="single" w:color="auto" w:sz="4" w:space="0"/>
              <w:bottom w:val="single" w:color="auto" w:sz="4" w:space="0"/>
              <w:right w:val="single" w:color="auto" w:sz="4" w:space="0"/>
            </w:tcBorders>
          </w:tcPr>
          <w:p w14:paraId="554571D1">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tc>
        <w:tc>
          <w:tcPr>
            <w:tcW w:w="3091" w:type="dxa"/>
            <w:tcBorders>
              <w:top w:val="single" w:color="auto" w:sz="4" w:space="0"/>
              <w:left w:val="single" w:color="auto" w:sz="4" w:space="0"/>
              <w:bottom w:val="single" w:color="auto" w:sz="4" w:space="0"/>
              <w:right w:val="single" w:color="auto" w:sz="4" w:space="0"/>
            </w:tcBorders>
          </w:tcPr>
          <w:p w14:paraId="2A831FEE">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w:t>
            </w:r>
          </w:p>
        </w:tc>
        <w:tc>
          <w:tcPr>
            <w:tcW w:w="2832" w:type="dxa"/>
            <w:tcBorders>
              <w:top w:val="single" w:color="auto" w:sz="4" w:space="0"/>
              <w:left w:val="single" w:color="auto" w:sz="4" w:space="0"/>
              <w:bottom w:val="single" w:color="auto" w:sz="4" w:space="0"/>
              <w:right w:val="single" w:color="auto" w:sz="4" w:space="0"/>
            </w:tcBorders>
          </w:tcPr>
          <w:p w14:paraId="036CB3D3">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w:t>
            </w:r>
          </w:p>
        </w:tc>
      </w:tr>
      <w:tr w14:paraId="16063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2155" w:type="dxa"/>
            <w:tcBorders>
              <w:top w:val="single" w:color="auto" w:sz="4" w:space="0"/>
              <w:left w:val="single" w:color="auto" w:sz="4" w:space="0"/>
              <w:bottom w:val="single" w:color="auto" w:sz="4" w:space="0"/>
              <w:right w:val="single" w:color="auto" w:sz="4" w:space="0"/>
            </w:tcBorders>
          </w:tcPr>
          <w:p w14:paraId="1F0A5D7E">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Картридж для монохромных принтеров и МФУ</w:t>
            </w:r>
          </w:p>
        </w:tc>
        <w:tc>
          <w:tcPr>
            <w:tcW w:w="1560" w:type="dxa"/>
            <w:tcBorders>
              <w:top w:val="single" w:color="auto" w:sz="4" w:space="0"/>
              <w:left w:val="single" w:color="auto" w:sz="4" w:space="0"/>
              <w:bottom w:val="single" w:color="auto" w:sz="4" w:space="0"/>
              <w:right w:val="single" w:color="auto" w:sz="4" w:space="0"/>
            </w:tcBorders>
          </w:tcPr>
          <w:p w14:paraId="6BB15ABA">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Не менее 1000 страниц</w:t>
            </w:r>
          </w:p>
        </w:tc>
        <w:tc>
          <w:tcPr>
            <w:tcW w:w="3091" w:type="dxa"/>
            <w:tcBorders>
              <w:top w:val="single" w:color="auto" w:sz="4" w:space="0"/>
              <w:left w:val="single" w:color="auto" w:sz="4" w:space="0"/>
              <w:bottom w:val="single" w:color="auto" w:sz="4" w:space="0"/>
              <w:right w:val="single" w:color="auto" w:sz="4" w:space="0"/>
            </w:tcBorders>
          </w:tcPr>
          <w:p w14:paraId="0DF27501">
            <w:pPr>
              <w:widowControl w:val="0"/>
              <w:autoSpaceDE w:val="0"/>
              <w:autoSpaceDN w:val="0"/>
              <w:adjustRightInd w:val="0"/>
              <w:spacing w:after="0" w:line="240" w:lineRule="auto"/>
              <w:jc w:val="center"/>
              <w:rPr>
                <w:rFonts w:ascii="Times New Roman" w:hAnsi="Times New Roman" w:eastAsia="Times New Roman" w:cs="Times New Roman"/>
                <w:sz w:val="24"/>
                <w:szCs w:val="24"/>
                <w:lang w:val="en-US" w:eastAsia="ru-RU"/>
              </w:rPr>
            </w:pPr>
            <w:r>
              <w:rPr>
                <w:rFonts w:ascii="Times New Roman" w:hAnsi="Times New Roman" w:eastAsia="Times New Roman" w:cs="Times New Roman"/>
                <w:sz w:val="24"/>
                <w:szCs w:val="24"/>
                <w:lang w:eastAsia="ru-RU"/>
              </w:rPr>
              <w:t>не более 1</w:t>
            </w:r>
          </w:p>
        </w:tc>
        <w:tc>
          <w:tcPr>
            <w:tcW w:w="2832" w:type="dxa"/>
            <w:tcBorders>
              <w:top w:val="single" w:color="auto" w:sz="4" w:space="0"/>
              <w:left w:val="single" w:color="auto" w:sz="4" w:space="0"/>
              <w:bottom w:val="single" w:color="auto" w:sz="4" w:space="0"/>
              <w:right w:val="single" w:color="auto" w:sz="4" w:space="0"/>
            </w:tcBorders>
          </w:tcPr>
          <w:p w14:paraId="297F5C57">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не более 6 000,00</w:t>
            </w:r>
          </w:p>
        </w:tc>
      </w:tr>
      <w:tr w14:paraId="4C9B3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2155" w:type="dxa"/>
            <w:tcBorders>
              <w:top w:val="single" w:color="auto" w:sz="4" w:space="0"/>
              <w:left w:val="single" w:color="auto" w:sz="4" w:space="0"/>
              <w:bottom w:val="single" w:color="auto" w:sz="4" w:space="0"/>
              <w:right w:val="single" w:color="auto" w:sz="4" w:space="0"/>
            </w:tcBorders>
          </w:tcPr>
          <w:p w14:paraId="095055C3">
            <w:pPr>
              <w:widowControl w:val="0"/>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Картридж для цветных принтеров и МФУ</w:t>
            </w:r>
          </w:p>
        </w:tc>
        <w:tc>
          <w:tcPr>
            <w:tcW w:w="1560" w:type="dxa"/>
            <w:tcBorders>
              <w:top w:val="single" w:color="auto" w:sz="4" w:space="0"/>
              <w:left w:val="single" w:color="auto" w:sz="4" w:space="0"/>
              <w:bottom w:val="single" w:color="auto" w:sz="4" w:space="0"/>
              <w:right w:val="single" w:color="auto" w:sz="4" w:space="0"/>
            </w:tcBorders>
          </w:tcPr>
          <w:p w14:paraId="12DA82BA">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Не менее 1000 страниц</w:t>
            </w:r>
          </w:p>
        </w:tc>
        <w:tc>
          <w:tcPr>
            <w:tcW w:w="3091" w:type="dxa"/>
            <w:tcBorders>
              <w:top w:val="single" w:color="auto" w:sz="4" w:space="0"/>
              <w:left w:val="single" w:color="auto" w:sz="4" w:space="0"/>
              <w:bottom w:val="single" w:color="auto" w:sz="4" w:space="0"/>
              <w:right w:val="single" w:color="auto" w:sz="4" w:space="0"/>
            </w:tcBorders>
          </w:tcPr>
          <w:p w14:paraId="3D1B237E">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не более 3</w:t>
            </w:r>
          </w:p>
        </w:tc>
        <w:tc>
          <w:tcPr>
            <w:tcW w:w="2832" w:type="dxa"/>
            <w:tcBorders>
              <w:top w:val="single" w:color="auto" w:sz="4" w:space="0"/>
              <w:left w:val="single" w:color="auto" w:sz="4" w:space="0"/>
              <w:bottom w:val="single" w:color="auto" w:sz="4" w:space="0"/>
              <w:right w:val="single" w:color="auto" w:sz="4" w:space="0"/>
            </w:tcBorders>
          </w:tcPr>
          <w:p w14:paraId="552D7981">
            <w:pPr>
              <w:widowControl w:val="0"/>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не более 10 000,00</w:t>
            </w:r>
          </w:p>
        </w:tc>
      </w:tr>
    </w:tbl>
    <w:p w14:paraId="0644E18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*Закупки осуществляются исходя из фактической потребности, в пределах утвержденных на эти цели лимитов бюджетных обязательств по соответствующему коду классификации расходов бюджета.</w:t>
      </w:r>
    </w:p>
    <w:p w14:paraId="79928115">
      <w:pPr>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cs="Times New Roman"/>
          <w:bCs/>
          <w:sz w:val="24"/>
          <w:szCs w:val="28"/>
        </w:rPr>
        <w:t>*Количество расходных материалов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Pr>
          <w:rFonts w:ascii="Times New Roman" w:hAnsi="Times New Roman" w:cs="Times New Roman"/>
          <w:sz w:val="24"/>
          <w:szCs w:val="24"/>
        </w:rPr>
        <w:t xml:space="preserve"> и подведомственного ему областного казенного учреждения</w:t>
      </w:r>
      <w:r>
        <w:rPr>
          <w:rFonts w:ascii="Times New Roman" w:hAnsi="Times New Roman" w:cs="Times New Roman"/>
          <w:bCs/>
          <w:sz w:val="24"/>
          <w:szCs w:val="28"/>
        </w:rPr>
        <w:t>.</w:t>
      </w:r>
    </w:p>
    <w:p w14:paraId="046EF353">
      <w:pPr>
        <w:autoSpaceDE w:val="0"/>
        <w:autoSpaceDN w:val="0"/>
        <w:adjustRightInd w:val="0"/>
        <w:spacing w:before="120" w:after="0" w:line="36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sz w:val="28"/>
          <w:szCs w:val="28"/>
          <w:lang w:eastAsia="ru-RU"/>
        </w:rPr>
        <w:t xml:space="preserve">5.5.2. </w:t>
      </w:r>
      <w:r>
        <w:rPr>
          <w:rFonts w:ascii="Times New Roman" w:hAnsi="Times New Roman" w:eastAsia="Times New Roman" w:cs="Times New Roman"/>
          <w:bCs/>
          <w:sz w:val="28"/>
          <w:szCs w:val="28"/>
          <w:lang w:eastAsia="ru-RU"/>
        </w:rPr>
        <w:t>Затраты на приобретение запасных частей для принтеров, многофункциональных устройств</w:t>
      </w:r>
      <w:r>
        <w:rPr>
          <w:rFonts w:ascii="Times New Roman" w:hAnsi="Times New Roman" w:eastAsia="Times New Roman" w:cs="Times New Roman"/>
          <w:sz w:val="28"/>
          <w:szCs w:val="28"/>
          <w:lang w:eastAsia="ru-RU"/>
        </w:rPr>
        <w:t xml:space="preserve">, копировальных аппаратов и иной оргтехники </w:t>
      </w:r>
      <w:r>
        <w:rPr>
          <w:rFonts w:ascii="Times New Roman" w:hAnsi="Times New Roman" w:eastAsia="Times New Roman" w:cs="Times New Roman"/>
          <w:bCs/>
          <w:sz w:val="28"/>
          <w:szCs w:val="28"/>
          <w:lang w:eastAsia="ru-RU"/>
        </w:rPr>
        <w:t>(</w:t>
      </w:r>
      <w:r>
        <w:rPr>
          <w:rFonts w:ascii="Times New Roman" w:hAnsi="Times New Roman" w:eastAsia="Times New Roman" w:cs="Times New Roman"/>
          <w:position w:val="-12"/>
          <w:sz w:val="28"/>
          <w:szCs w:val="28"/>
          <w:lang w:eastAsia="ru-RU"/>
        </w:rPr>
        <w:t> </w:t>
      </w:r>
      <w:r>
        <w:rPr>
          <w:rFonts w:ascii="Times New Roman" w:hAnsi="Times New Roman" w:eastAsia="Times New Roman" w:cs="Times New Roman"/>
          <w:position w:val="-12"/>
          <w:sz w:val="28"/>
          <w:szCs w:val="28"/>
          <w:lang w:eastAsia="ru-RU"/>
        </w:rPr>
        <w:drawing>
          <wp:inline distT="0" distB="0" distL="0" distR="0">
            <wp:extent cx="309245" cy="309245"/>
            <wp:effectExtent l="0" t="0" r="0" b="0"/>
            <wp:docPr id="2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155"/>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a:xfrm>
                      <a:off x="0" y="0"/>
                      <a:ext cx="309245" cy="309245"/>
                    </a:xfrm>
                    <a:prstGeom prst="rect">
                      <a:avLst/>
                    </a:prstGeom>
                    <a:noFill/>
                    <a:ln>
                      <a:noFill/>
                    </a:ln>
                  </pic:spPr>
                </pic:pic>
              </a:graphicData>
            </a:graphic>
          </wp:inline>
        </w:drawing>
      </w:r>
      <w:r>
        <w:rPr>
          <w:rFonts w:ascii="Times New Roman" w:hAnsi="Times New Roman" w:eastAsia="Times New Roman" w:cs="Times New Roman"/>
          <w:bCs/>
          <w:sz w:val="28"/>
          <w:szCs w:val="28"/>
          <w:lang w:eastAsia="ru-RU"/>
        </w:rPr>
        <w:t>), определяемые по формуле:</w:t>
      </w:r>
    </w:p>
    <w:p w14:paraId="2F7971D3">
      <w:pPr>
        <w:autoSpaceDE w:val="0"/>
        <w:autoSpaceDN w:val="0"/>
        <w:adjustRightInd w:val="0"/>
        <w:spacing w:after="0" w:line="240" w:lineRule="auto"/>
        <w:ind w:firstLine="709"/>
        <w:jc w:val="center"/>
        <w:rPr>
          <w:rFonts w:ascii="Times New Roman" w:hAnsi="Times New Roman" w:eastAsia="Times New Roman" w:cs="Times New Roman"/>
          <w:bCs/>
          <w:sz w:val="28"/>
          <w:szCs w:val="28"/>
          <w:lang w:eastAsia="ru-RU"/>
        </w:rPr>
      </w:pPr>
      <w:r>
        <w:rPr>
          <w:rFonts w:ascii="Times New Roman" w:hAnsi="Times New Roman" w:eastAsia="Times New Roman" w:cs="Times New Roman"/>
          <w:position w:val="-28"/>
          <w:sz w:val="28"/>
          <w:szCs w:val="28"/>
          <w:lang w:eastAsia="ru-RU"/>
        </w:rPr>
        <w:drawing>
          <wp:inline distT="0" distB="0" distL="0" distR="0">
            <wp:extent cx="1699895" cy="605155"/>
            <wp:effectExtent l="0" t="0" r="0" b="4445"/>
            <wp:docPr id="2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156"/>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a:xfrm>
                      <a:off x="0" y="0"/>
                      <a:ext cx="1699895" cy="605155"/>
                    </a:xfrm>
                    <a:prstGeom prst="rect">
                      <a:avLst/>
                    </a:prstGeom>
                    <a:noFill/>
                    <a:ln>
                      <a:noFill/>
                    </a:ln>
                  </pic:spPr>
                </pic:pic>
              </a:graphicData>
            </a:graphic>
          </wp:inline>
        </w:drawing>
      </w:r>
      <w:r>
        <w:rPr>
          <w:rFonts w:ascii="Times New Roman" w:hAnsi="Times New Roman" w:eastAsia="Times New Roman" w:cs="Times New Roman"/>
          <w:bCs/>
          <w:sz w:val="28"/>
          <w:szCs w:val="28"/>
          <w:lang w:eastAsia="ru-RU"/>
        </w:rPr>
        <w:t>, где:</w:t>
      </w:r>
    </w:p>
    <w:p w14:paraId="611067BE">
      <w:pPr>
        <w:autoSpaceDE w:val="0"/>
        <w:autoSpaceDN w:val="0"/>
        <w:adjustRightInd w:val="0"/>
        <w:spacing w:after="0" w:line="36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position w:val="-12"/>
          <w:sz w:val="28"/>
          <w:szCs w:val="28"/>
          <w:lang w:eastAsia="ru-RU"/>
        </w:rPr>
        <w:drawing>
          <wp:inline distT="0" distB="0" distL="0" distR="0">
            <wp:extent cx="399415" cy="309245"/>
            <wp:effectExtent l="0" t="0" r="635" b="0"/>
            <wp:docPr id="2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157"/>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a:xfrm>
                      <a:off x="0" y="0"/>
                      <a:ext cx="399415" cy="309245"/>
                    </a:xfrm>
                    <a:prstGeom prst="rect">
                      <a:avLst/>
                    </a:prstGeom>
                    <a:noFill/>
                    <a:ln>
                      <a:noFill/>
                    </a:ln>
                  </pic:spPr>
                </pic:pic>
              </a:graphicData>
            </a:graphic>
          </wp:inline>
        </w:drawing>
      </w:r>
      <w:r>
        <w:rPr>
          <w:rFonts w:ascii="Times New Roman" w:hAnsi="Times New Roman" w:eastAsia="Times New Roman" w:cs="Times New Roman"/>
          <w:bCs/>
          <w:sz w:val="28"/>
          <w:szCs w:val="28"/>
          <w:lang w:eastAsia="ru-RU"/>
        </w:rPr>
        <w:t xml:space="preserve"> –количество i-х запасных частей для принтеров, многофункциональных устройств</w:t>
      </w:r>
      <w:r>
        <w:rPr>
          <w:rFonts w:ascii="Times New Roman" w:hAnsi="Times New Roman" w:eastAsia="Times New Roman" w:cs="Times New Roman"/>
          <w:sz w:val="28"/>
          <w:szCs w:val="28"/>
          <w:lang w:eastAsia="ru-RU"/>
        </w:rPr>
        <w:t>, копировальных аппаратов и иной оргтехники</w:t>
      </w:r>
      <w:r>
        <w:rPr>
          <w:rFonts w:ascii="Times New Roman" w:hAnsi="Times New Roman" w:eastAsia="Times New Roman" w:cs="Times New Roman"/>
          <w:bCs/>
          <w:sz w:val="28"/>
          <w:szCs w:val="28"/>
          <w:lang w:eastAsia="ru-RU"/>
        </w:rPr>
        <w:t>;</w:t>
      </w:r>
    </w:p>
    <w:p w14:paraId="4D68D7CA">
      <w:pPr>
        <w:pStyle w:val="8"/>
        <w:spacing w:line="360" w:lineRule="auto"/>
        <w:ind w:firstLine="709"/>
        <w:jc w:val="both"/>
        <w:rPr>
          <w:rFonts w:ascii="Times New Roman" w:hAnsi="Times New Roman" w:cs="Times New Roman"/>
          <w:sz w:val="28"/>
          <w:szCs w:val="28"/>
        </w:rPr>
      </w:pPr>
      <w:r>
        <w:rPr>
          <w:rFonts w:ascii="Times New Roman" w:hAnsi="Times New Roman" w:cs="Times New Roman"/>
          <w:position w:val="-12"/>
          <w:sz w:val="28"/>
          <w:szCs w:val="28"/>
        </w:rPr>
        <w:drawing>
          <wp:inline distT="0" distB="0" distL="0" distR="0">
            <wp:extent cx="386080" cy="309245"/>
            <wp:effectExtent l="0" t="0" r="0" b="0"/>
            <wp:docPr id="2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158"/>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a:xfrm>
                      <a:off x="0" y="0"/>
                      <a:ext cx="386080" cy="309245"/>
                    </a:xfrm>
                    <a:prstGeom prst="rect">
                      <a:avLst/>
                    </a:prstGeom>
                    <a:noFill/>
                    <a:ln>
                      <a:noFill/>
                    </a:ln>
                  </pic:spPr>
                </pic:pic>
              </a:graphicData>
            </a:graphic>
          </wp:inline>
        </w:drawing>
      </w:r>
      <w:r>
        <w:rPr>
          <w:rFonts w:ascii="Times New Roman" w:hAnsi="Times New Roman" w:cs="Times New Roman"/>
          <w:bCs/>
          <w:sz w:val="28"/>
          <w:szCs w:val="28"/>
        </w:rPr>
        <w:t xml:space="preserve"> –цена одной единицы i-й запасной части</w:t>
      </w:r>
      <w:r>
        <w:rPr>
          <w:rFonts w:ascii="Times New Roman" w:hAnsi="Times New Roman" w:cs="Times New Roman"/>
          <w:sz w:val="28"/>
          <w:szCs w:val="28"/>
        </w:rPr>
        <w:t>.</w:t>
      </w:r>
    </w:p>
    <w:p w14:paraId="17DF6812">
      <w:pPr>
        <w:pStyle w:val="8"/>
        <w:spacing w:line="360" w:lineRule="auto"/>
        <w:ind w:firstLine="709"/>
        <w:jc w:val="both"/>
        <w:rPr>
          <w:rFonts w:ascii="Times New Roman" w:hAnsi="Times New Roman" w:cs="Times New Roman"/>
          <w:sz w:val="28"/>
          <w:szCs w:val="28"/>
        </w:rPr>
      </w:pPr>
    </w:p>
    <w:p w14:paraId="7C8D5CDD">
      <w:pPr>
        <w:pStyle w:val="8"/>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6. Прочие затраты (в том числе затраты на закупку товаров, работ и услуг в целях оказания государственных услуг (выполнения работ) и реализации государственных функций) состоят из:</w:t>
      </w:r>
    </w:p>
    <w:p w14:paraId="563083E5">
      <w:pPr>
        <w:pStyle w:val="8"/>
        <w:spacing w:line="360" w:lineRule="auto"/>
        <w:ind w:firstLine="709"/>
        <w:jc w:val="both"/>
        <w:rPr>
          <w:rFonts w:ascii="Times New Roman" w:hAnsi="Times New Roman" w:cs="Times New Roman"/>
          <w:sz w:val="28"/>
          <w:szCs w:val="28"/>
        </w:rPr>
      </w:pPr>
      <w:bookmarkStart w:id="3" w:name="P330"/>
      <w:bookmarkEnd w:id="3"/>
      <w:r>
        <w:rPr>
          <w:rFonts w:ascii="Times New Roman" w:hAnsi="Times New Roman" w:cs="Times New Roman"/>
          <w:sz w:val="28"/>
          <w:szCs w:val="28"/>
        </w:rPr>
        <w:t xml:space="preserve">6.1. Затрат на услуги связи, не отнесенных к затратам на услуги связи в рамках затрат на информационно-коммуникационные технологии, включающих затраты на услуги связи </w:t>
      </w:r>
      <w:r>
        <w:rPr>
          <w:rFonts w:ascii="Times New Roman" w:hAnsi="Times New Roman" w:cs="Times New Roman"/>
          <w:position w:val="-14"/>
          <w:sz w:val="28"/>
          <w:szCs w:val="28"/>
        </w:rPr>
        <w:drawing>
          <wp:inline distT="0" distB="0" distL="0" distR="0">
            <wp:extent cx="400050" cy="285750"/>
            <wp:effectExtent l="0" t="0" r="0" b="0"/>
            <wp:docPr id="139" name="Рисунок 139" descr="base_23792_85543_605"/>
            <wp:cNvGraphicFramePr/>
            <a:graphic xmlns:a="http://schemas.openxmlformats.org/drawingml/2006/main">
              <a:graphicData uri="http://schemas.openxmlformats.org/drawingml/2006/picture">
                <pic:pic xmlns:pic="http://schemas.openxmlformats.org/drawingml/2006/picture">
                  <pic:nvPicPr>
                    <pic:cNvPr id="139" name="Рисунок 139" descr="base_23792_85543_605"/>
                    <pic:cNvPicPr preferRelativeResize="0">
                      <a:picLocks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a:xfrm>
                      <a:off x="0" y="0"/>
                      <a:ext cx="400050" cy="285750"/>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1E40BA8A">
      <w:pPr>
        <w:pStyle w:val="8"/>
        <w:ind w:firstLine="709"/>
        <w:jc w:val="center"/>
        <w:rPr>
          <w:rFonts w:ascii="Times New Roman" w:hAnsi="Times New Roman" w:cs="Times New Roman"/>
          <w:sz w:val="28"/>
          <w:szCs w:val="28"/>
        </w:rPr>
      </w:pPr>
      <w:r>
        <w:rPr>
          <w:rFonts w:ascii="Times New Roman" w:hAnsi="Times New Roman" w:cs="Times New Roman"/>
          <w:sz w:val="28"/>
          <w:szCs w:val="28"/>
        </w:rPr>
        <w:drawing>
          <wp:inline distT="0" distB="0" distL="0" distR="0">
            <wp:extent cx="1323975" cy="285750"/>
            <wp:effectExtent l="0" t="0" r="0" b="0"/>
            <wp:docPr id="140" name="Рисунок 140" descr="base_23792_85543_606"/>
            <wp:cNvGraphicFramePr/>
            <a:graphic xmlns:a="http://schemas.openxmlformats.org/drawingml/2006/main">
              <a:graphicData uri="http://schemas.openxmlformats.org/drawingml/2006/picture">
                <pic:pic xmlns:pic="http://schemas.openxmlformats.org/drawingml/2006/picture">
                  <pic:nvPicPr>
                    <pic:cNvPr id="140" name="Рисунок 140" descr="base_23792_85543_606"/>
                    <pic:cNvPicPr preferRelativeResize="0">
                      <a:picLocks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a:xfrm>
                      <a:off x="0" y="0"/>
                      <a:ext cx="1323975" cy="285750"/>
                    </a:xfrm>
                    <a:prstGeom prst="rect">
                      <a:avLst/>
                    </a:prstGeom>
                    <a:noFill/>
                    <a:ln>
                      <a:noFill/>
                    </a:ln>
                  </pic:spPr>
                </pic:pic>
              </a:graphicData>
            </a:graphic>
          </wp:inline>
        </w:drawing>
      </w:r>
    </w:p>
    <w:p w14:paraId="34410B83">
      <w:pPr>
        <w:pStyle w:val="8"/>
        <w:spacing w:line="360" w:lineRule="auto"/>
        <w:ind w:firstLine="709"/>
        <w:jc w:val="both"/>
        <w:rPr>
          <w:rFonts w:ascii="Times New Roman" w:hAnsi="Times New Roman" w:cs="Times New Roman"/>
          <w:sz w:val="28"/>
          <w:szCs w:val="28"/>
        </w:rPr>
      </w:pPr>
      <w:r>
        <w:rPr>
          <w:rFonts w:ascii="Times New Roman" w:hAnsi="Times New Roman" w:cs="Times New Roman"/>
          <w:position w:val="-10"/>
          <w:sz w:val="28"/>
          <w:szCs w:val="28"/>
        </w:rPr>
        <w:drawing>
          <wp:inline distT="0" distB="0" distL="0" distR="0">
            <wp:extent cx="190500" cy="247650"/>
            <wp:effectExtent l="0" t="0" r="0" b="0"/>
            <wp:docPr id="141" name="Рисунок 141" descr="base_23792_85543_607"/>
            <wp:cNvGraphicFramePr/>
            <a:graphic xmlns:a="http://schemas.openxmlformats.org/drawingml/2006/main">
              <a:graphicData uri="http://schemas.openxmlformats.org/drawingml/2006/picture">
                <pic:pic xmlns:pic="http://schemas.openxmlformats.org/drawingml/2006/picture">
                  <pic:nvPicPr>
                    <pic:cNvPr id="141" name="Рисунок 141" descr="base_23792_85543_607"/>
                    <pic:cNvPicPr preferRelativeResize="0">
                      <a:picLocks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a:xfrm>
                      <a:off x="0" y="0"/>
                      <a:ext cx="190500" cy="247650"/>
                    </a:xfrm>
                    <a:prstGeom prst="rect">
                      <a:avLst/>
                    </a:prstGeom>
                    <a:noFill/>
                    <a:ln>
                      <a:noFill/>
                    </a:ln>
                  </pic:spPr>
                </pic:pic>
              </a:graphicData>
            </a:graphic>
          </wp:inline>
        </w:drawing>
      </w:r>
      <w:r>
        <w:rPr>
          <w:rFonts w:ascii="Times New Roman" w:hAnsi="Times New Roman" w:cs="Times New Roman"/>
          <w:sz w:val="28"/>
          <w:szCs w:val="28"/>
        </w:rPr>
        <w:t xml:space="preserve"> – затраты на оплату услуг почтовой связи;</w:t>
      </w:r>
    </w:p>
    <w:p w14:paraId="3E637017">
      <w:pPr>
        <w:pStyle w:val="8"/>
        <w:spacing w:line="360" w:lineRule="auto"/>
        <w:ind w:firstLine="709"/>
        <w:jc w:val="both"/>
        <w:rPr>
          <w:rFonts w:ascii="Times New Roman" w:hAnsi="Times New Roman" w:cs="Times New Roman"/>
          <w:sz w:val="28"/>
          <w:szCs w:val="28"/>
        </w:rPr>
      </w:pPr>
      <w:r>
        <w:rPr>
          <w:rFonts w:ascii="Times New Roman" w:hAnsi="Times New Roman" w:cs="Times New Roman"/>
          <w:position w:val="-12"/>
          <w:sz w:val="28"/>
          <w:szCs w:val="28"/>
        </w:rPr>
        <w:drawing>
          <wp:inline distT="0" distB="0" distL="0" distR="0">
            <wp:extent cx="247650" cy="257175"/>
            <wp:effectExtent l="0" t="0" r="0" b="0"/>
            <wp:docPr id="142" name="Рисунок 142" descr="base_23792_85543_608"/>
            <wp:cNvGraphicFramePr/>
            <a:graphic xmlns:a="http://schemas.openxmlformats.org/drawingml/2006/main">
              <a:graphicData uri="http://schemas.openxmlformats.org/drawingml/2006/picture">
                <pic:pic xmlns:pic="http://schemas.openxmlformats.org/drawingml/2006/picture">
                  <pic:nvPicPr>
                    <pic:cNvPr id="142" name="Рисунок 142" descr="base_23792_85543_608"/>
                    <pic:cNvPicPr preferRelativeResize="0">
                      <a:picLocks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 затраты на оплату услуг специальной связи.</w:t>
      </w:r>
    </w:p>
    <w:p w14:paraId="07CFF17C">
      <w:pPr>
        <w:pStyle w:val="8"/>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2.1.1. Затраты на оплату услуг почтовой связи </w:t>
      </w:r>
      <w:r>
        <w:rPr>
          <w:rFonts w:ascii="Times New Roman" w:hAnsi="Times New Roman" w:cs="Times New Roman"/>
          <w:position w:val="-10"/>
          <w:sz w:val="28"/>
          <w:szCs w:val="28"/>
        </w:rPr>
        <w:drawing>
          <wp:inline distT="0" distB="0" distL="0" distR="0">
            <wp:extent cx="314325" cy="247650"/>
            <wp:effectExtent l="0" t="0" r="0" b="0"/>
            <wp:docPr id="143" name="Рисунок 143" descr="base_23792_85543_609"/>
            <wp:cNvGraphicFramePr/>
            <a:graphic xmlns:a="http://schemas.openxmlformats.org/drawingml/2006/main">
              <a:graphicData uri="http://schemas.openxmlformats.org/drawingml/2006/picture">
                <pic:pic xmlns:pic="http://schemas.openxmlformats.org/drawingml/2006/picture">
                  <pic:nvPicPr>
                    <pic:cNvPr id="143" name="Рисунок 143" descr="base_23792_85543_609"/>
                    <pic:cNvPicPr preferRelativeResize="0">
                      <a:picLocks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a:xfrm>
                      <a:off x="0" y="0"/>
                      <a:ext cx="314325" cy="247650"/>
                    </a:xfrm>
                    <a:prstGeom prst="rect">
                      <a:avLst/>
                    </a:prstGeom>
                    <a:noFill/>
                    <a:ln>
                      <a:noFill/>
                    </a:ln>
                  </pic:spPr>
                </pic:pic>
              </a:graphicData>
            </a:graphic>
          </wp:inline>
        </w:drawing>
      </w:r>
      <w:r>
        <w:rPr>
          <w:rFonts w:ascii="Times New Roman" w:hAnsi="Times New Roman" w:cs="Times New Roman"/>
          <w:sz w:val="28"/>
          <w:szCs w:val="28"/>
        </w:rPr>
        <w:t>определяются по формуле:</w:t>
      </w:r>
    </w:p>
    <w:p w14:paraId="4F6FCE54">
      <w:pPr>
        <w:pStyle w:val="8"/>
        <w:ind w:firstLine="709"/>
        <w:jc w:val="center"/>
        <w:rPr>
          <w:rFonts w:ascii="Times New Roman" w:hAnsi="Times New Roman" w:cs="Times New Roman"/>
          <w:sz w:val="28"/>
          <w:szCs w:val="28"/>
        </w:rPr>
      </w:pPr>
      <w:r>
        <w:rPr>
          <w:rFonts w:ascii="Times New Roman" w:hAnsi="Times New Roman" w:cs="Times New Roman"/>
          <w:sz w:val="28"/>
          <w:szCs w:val="28"/>
        </w:rPr>
        <w:drawing>
          <wp:inline distT="0" distB="0" distL="0" distR="0">
            <wp:extent cx="1562100" cy="476250"/>
            <wp:effectExtent l="0" t="0" r="0" b="0"/>
            <wp:docPr id="144" name="Рисунок 144" descr="base_23792_85543_610"/>
            <wp:cNvGraphicFramePr/>
            <a:graphic xmlns:a="http://schemas.openxmlformats.org/drawingml/2006/main">
              <a:graphicData uri="http://schemas.openxmlformats.org/drawingml/2006/picture">
                <pic:pic xmlns:pic="http://schemas.openxmlformats.org/drawingml/2006/picture">
                  <pic:nvPicPr>
                    <pic:cNvPr id="144" name="Рисунок 144" descr="base_23792_85543_610"/>
                    <pic:cNvPicPr preferRelativeResize="0">
                      <a:picLocks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a:xfrm>
                      <a:off x="0" y="0"/>
                      <a:ext cx="1562100" cy="476250"/>
                    </a:xfrm>
                    <a:prstGeom prst="rect">
                      <a:avLst/>
                    </a:prstGeom>
                    <a:noFill/>
                    <a:ln>
                      <a:noFill/>
                    </a:ln>
                  </pic:spPr>
                </pic:pic>
              </a:graphicData>
            </a:graphic>
          </wp:inline>
        </w:drawing>
      </w:r>
    </w:p>
    <w:p w14:paraId="0F4B53C5">
      <w:pPr>
        <w:pStyle w:val="8"/>
        <w:spacing w:line="360" w:lineRule="auto"/>
        <w:ind w:firstLine="709"/>
        <w:jc w:val="both"/>
        <w:rPr>
          <w:rFonts w:ascii="Times New Roman" w:hAnsi="Times New Roman" w:cs="Times New Roman"/>
          <w:sz w:val="28"/>
          <w:szCs w:val="28"/>
        </w:rPr>
      </w:pPr>
      <w:r>
        <w:rPr>
          <w:rFonts w:ascii="Times New Roman" w:hAnsi="Times New Roman" w:cs="Times New Roman"/>
          <w:position w:val="-14"/>
          <w:sz w:val="28"/>
          <w:szCs w:val="28"/>
        </w:rPr>
        <w:drawing>
          <wp:inline distT="0" distB="0" distL="0" distR="0">
            <wp:extent cx="285750" cy="257175"/>
            <wp:effectExtent l="0" t="0" r="0" b="0"/>
            <wp:docPr id="145" name="Рисунок 145" descr="base_23792_85543_611"/>
            <wp:cNvGraphicFramePr/>
            <a:graphic xmlns:a="http://schemas.openxmlformats.org/drawingml/2006/main">
              <a:graphicData uri="http://schemas.openxmlformats.org/drawingml/2006/picture">
                <pic:pic xmlns:pic="http://schemas.openxmlformats.org/drawingml/2006/picture">
                  <pic:nvPicPr>
                    <pic:cNvPr id="145" name="Рисунок 145" descr="base_23792_85543_611"/>
                    <pic:cNvPicPr preferRelativeResize="0">
                      <a:picLocks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 планируемое количество i-х почтовых отправлений в год;</w:t>
      </w:r>
    </w:p>
    <w:p w14:paraId="57D96B94">
      <w:pPr>
        <w:pStyle w:val="8"/>
        <w:spacing w:line="360" w:lineRule="auto"/>
        <w:ind w:firstLine="709"/>
        <w:jc w:val="both"/>
        <w:rPr>
          <w:rFonts w:ascii="Times New Roman" w:hAnsi="Times New Roman" w:cs="Times New Roman"/>
          <w:sz w:val="28"/>
          <w:szCs w:val="28"/>
        </w:rPr>
      </w:pPr>
      <w:r>
        <w:rPr>
          <w:rFonts w:ascii="Times New Roman" w:hAnsi="Times New Roman" w:cs="Times New Roman"/>
          <w:position w:val="-14"/>
          <w:sz w:val="28"/>
          <w:szCs w:val="28"/>
        </w:rPr>
        <w:drawing>
          <wp:inline distT="0" distB="0" distL="0" distR="0">
            <wp:extent cx="247650" cy="257175"/>
            <wp:effectExtent l="0" t="0" r="0" b="0"/>
            <wp:docPr id="146" name="Рисунок 146" descr="base_23792_85543_612"/>
            <wp:cNvGraphicFramePr/>
            <a:graphic xmlns:a="http://schemas.openxmlformats.org/drawingml/2006/main">
              <a:graphicData uri="http://schemas.openxmlformats.org/drawingml/2006/picture">
                <pic:pic xmlns:pic="http://schemas.openxmlformats.org/drawingml/2006/picture">
                  <pic:nvPicPr>
                    <pic:cNvPr id="146" name="Рисунок 146" descr="base_23792_85543_612"/>
                    <pic:cNvPicPr preferRelativeResize="0">
                      <a:picLocks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–цена одного i-го почтового отправления, которая определяется в соответствии с постановлением Правительства Российской Федерации от 24.10.2005 № 637 «О государственном регулировании тарифов на услуги общедоступной электросвязи и общедоступной почтовой связи».</w:t>
      </w:r>
    </w:p>
    <w:p w14:paraId="4B0103C0">
      <w:pPr>
        <w:pStyle w:val="8"/>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таблицам №25 и №25.1.</w:t>
      </w:r>
    </w:p>
    <w:p w14:paraId="00F9C7AD">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№25</w:t>
      </w:r>
    </w:p>
    <w:p w14:paraId="096DF30B">
      <w:pPr>
        <w:widowControl w:val="0"/>
        <w:autoSpaceDE w:val="0"/>
        <w:autoSpaceDN w:val="0"/>
        <w:adjustRightInd w:val="0"/>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почтовой связи</w:t>
      </w:r>
    </w:p>
    <w:p w14:paraId="5A11B381">
      <w:pPr>
        <w:widowControl w:val="0"/>
        <w:autoSpaceDE w:val="0"/>
        <w:autoSpaceDN w:val="0"/>
        <w:adjustRightInd w:val="0"/>
        <w:spacing w:after="0" w:line="240" w:lineRule="auto"/>
        <w:ind w:firstLine="709"/>
        <w:jc w:val="center"/>
        <w:rPr>
          <w:rFonts w:ascii="Times New Roman" w:hAnsi="Times New Roman" w:cs="Times New Roman"/>
          <w:sz w:val="20"/>
          <w:szCs w:val="20"/>
        </w:rPr>
      </w:pPr>
    </w:p>
    <w:tbl>
      <w:tblPr>
        <w:tblStyle w:val="3"/>
        <w:tblW w:w="963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29"/>
        <w:gridCol w:w="4110"/>
      </w:tblGrid>
      <w:tr w14:paraId="328D8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9" w:type="dxa"/>
            <w:shd w:val="clear" w:color="auto" w:fill="auto"/>
          </w:tcPr>
          <w:p w14:paraId="74203E4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Вид почтового отправления</w:t>
            </w:r>
          </w:p>
        </w:tc>
        <w:tc>
          <w:tcPr>
            <w:tcW w:w="4110" w:type="dxa"/>
            <w:shd w:val="clear" w:color="auto" w:fill="auto"/>
          </w:tcPr>
          <w:p w14:paraId="14022D3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почтовых отправлений в год (штук)</w:t>
            </w:r>
          </w:p>
        </w:tc>
      </w:tr>
      <w:tr w14:paraId="1FFAF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9" w:type="dxa"/>
            <w:shd w:val="clear" w:color="auto" w:fill="auto"/>
          </w:tcPr>
          <w:p w14:paraId="7AA3522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4110" w:type="dxa"/>
            <w:shd w:val="clear" w:color="auto" w:fill="auto"/>
          </w:tcPr>
          <w:p w14:paraId="6692921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14:paraId="14AB2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9" w:type="dxa"/>
            <w:shd w:val="clear" w:color="auto" w:fill="auto"/>
          </w:tcPr>
          <w:p w14:paraId="7AF7E5A9">
            <w:pPr>
              <w:spacing w:after="0" w:line="240" w:lineRule="auto"/>
              <w:rPr>
                <w:rFonts w:ascii="Times New Roman" w:hAnsi="Times New Roman" w:cs="Times New Roman"/>
                <w:sz w:val="28"/>
                <w:szCs w:val="28"/>
              </w:rPr>
            </w:pPr>
            <w:r>
              <w:rPr>
                <w:rFonts w:ascii="Times New Roman" w:hAnsi="Times New Roman" w:cs="Times New Roman"/>
                <w:sz w:val="28"/>
                <w:szCs w:val="28"/>
              </w:rPr>
              <w:t>Заказное письмо (в соответствии с тарифами)</w:t>
            </w:r>
          </w:p>
        </w:tc>
        <w:tc>
          <w:tcPr>
            <w:tcW w:w="4110" w:type="dxa"/>
            <w:shd w:val="clear" w:color="auto" w:fill="auto"/>
          </w:tcPr>
          <w:p w14:paraId="1332887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w:t>
            </w:r>
          </w:p>
        </w:tc>
      </w:tr>
      <w:tr w14:paraId="33842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9" w:type="dxa"/>
            <w:shd w:val="clear" w:color="auto" w:fill="auto"/>
          </w:tcPr>
          <w:p w14:paraId="05DB0031">
            <w:pPr>
              <w:spacing w:after="0" w:line="240" w:lineRule="auto"/>
              <w:rPr>
                <w:rFonts w:ascii="Times New Roman" w:hAnsi="Times New Roman" w:cs="Times New Roman"/>
                <w:sz w:val="28"/>
                <w:szCs w:val="28"/>
              </w:rPr>
            </w:pPr>
            <w:r>
              <w:rPr>
                <w:rFonts w:ascii="Times New Roman" w:hAnsi="Times New Roman" w:cs="Times New Roman"/>
                <w:sz w:val="28"/>
                <w:szCs w:val="28"/>
              </w:rPr>
              <w:t>Простое письмо</w:t>
            </w:r>
          </w:p>
        </w:tc>
        <w:tc>
          <w:tcPr>
            <w:tcW w:w="4110" w:type="dxa"/>
            <w:shd w:val="clear" w:color="auto" w:fill="auto"/>
          </w:tcPr>
          <w:p w14:paraId="3DA30F0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w:t>
            </w:r>
          </w:p>
        </w:tc>
      </w:tr>
      <w:tr w14:paraId="0BC42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9" w:type="dxa"/>
            <w:shd w:val="clear" w:color="auto" w:fill="auto"/>
          </w:tcPr>
          <w:p w14:paraId="70E58127">
            <w:pPr>
              <w:spacing w:after="0" w:line="240" w:lineRule="auto"/>
              <w:rPr>
                <w:rFonts w:ascii="Times New Roman" w:hAnsi="Times New Roman" w:cs="Times New Roman"/>
                <w:sz w:val="28"/>
                <w:szCs w:val="28"/>
              </w:rPr>
            </w:pPr>
            <w:r>
              <w:rPr>
                <w:rFonts w:ascii="Times New Roman" w:hAnsi="Times New Roman" w:cs="Times New Roman"/>
                <w:sz w:val="28"/>
                <w:szCs w:val="28"/>
              </w:rPr>
              <w:t>Письмо, направленное фельдъегерской службой (в соответствии с тарифами)</w:t>
            </w:r>
          </w:p>
        </w:tc>
        <w:tc>
          <w:tcPr>
            <w:tcW w:w="4110" w:type="dxa"/>
            <w:shd w:val="clear" w:color="auto" w:fill="auto"/>
          </w:tcPr>
          <w:p w14:paraId="2F98962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550</w:t>
            </w:r>
          </w:p>
        </w:tc>
      </w:tr>
      <w:tr w14:paraId="6AF36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9" w:type="dxa"/>
            <w:shd w:val="clear" w:color="auto" w:fill="auto"/>
          </w:tcPr>
          <w:p w14:paraId="7ED65ACC">
            <w:pPr>
              <w:spacing w:after="0" w:line="240" w:lineRule="auto"/>
              <w:rPr>
                <w:rFonts w:ascii="Times New Roman" w:hAnsi="Times New Roman" w:cs="Times New Roman"/>
                <w:sz w:val="28"/>
                <w:szCs w:val="28"/>
              </w:rPr>
            </w:pPr>
            <w:r>
              <w:rPr>
                <w:rFonts w:ascii="Times New Roman" w:hAnsi="Times New Roman" w:cs="Times New Roman"/>
                <w:sz w:val="28"/>
                <w:szCs w:val="28"/>
              </w:rPr>
              <w:t>Возврат почтового отправления</w:t>
            </w:r>
          </w:p>
        </w:tc>
        <w:tc>
          <w:tcPr>
            <w:tcW w:w="4110" w:type="dxa"/>
            <w:shd w:val="clear" w:color="auto" w:fill="auto"/>
          </w:tcPr>
          <w:p w14:paraId="00662DB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 мере необходимости</w:t>
            </w:r>
          </w:p>
        </w:tc>
      </w:tr>
    </w:tbl>
    <w:p w14:paraId="55BAEC34">
      <w:pPr>
        <w:widowControl w:val="0"/>
        <w:autoSpaceDE w:val="0"/>
        <w:autoSpaceDN w:val="0"/>
        <w:adjustRightInd w:val="0"/>
        <w:spacing w:before="120"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25.1</w:t>
      </w:r>
    </w:p>
    <w:p w14:paraId="7F0469F1">
      <w:pPr>
        <w:widowControl w:val="0"/>
        <w:autoSpaceDE w:val="0"/>
        <w:autoSpaceDN w:val="0"/>
        <w:adjustRightInd w:val="0"/>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почтовой связи</w:t>
      </w:r>
    </w:p>
    <w:tbl>
      <w:tblPr>
        <w:tblStyle w:val="3"/>
        <w:tblW w:w="963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29"/>
        <w:gridCol w:w="4110"/>
      </w:tblGrid>
      <w:tr w14:paraId="50A3A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29" w:type="dxa"/>
            <w:shd w:val="clear" w:color="auto" w:fill="auto"/>
          </w:tcPr>
          <w:p w14:paraId="676147B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Вид почтового отправления</w:t>
            </w:r>
          </w:p>
        </w:tc>
        <w:tc>
          <w:tcPr>
            <w:tcW w:w="4110" w:type="dxa"/>
            <w:shd w:val="clear" w:color="auto" w:fill="auto"/>
          </w:tcPr>
          <w:p w14:paraId="1A086F5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в год (рублей)</w:t>
            </w:r>
          </w:p>
        </w:tc>
      </w:tr>
      <w:tr w14:paraId="10989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9" w:type="dxa"/>
            <w:shd w:val="clear" w:color="auto" w:fill="auto"/>
          </w:tcPr>
          <w:p w14:paraId="304068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4110" w:type="dxa"/>
            <w:shd w:val="clear" w:color="auto" w:fill="auto"/>
          </w:tcPr>
          <w:p w14:paraId="31FB4BD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14:paraId="29A48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9" w:type="dxa"/>
            <w:shd w:val="clear" w:color="auto" w:fill="auto"/>
          </w:tcPr>
          <w:p w14:paraId="48942A3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Денежный почтовый документ </w:t>
            </w:r>
          </w:p>
        </w:tc>
        <w:tc>
          <w:tcPr>
            <w:tcW w:w="4110" w:type="dxa"/>
            <w:shd w:val="clear" w:color="auto" w:fill="auto"/>
          </w:tcPr>
          <w:p w14:paraId="77238B5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200 000,00</w:t>
            </w:r>
          </w:p>
        </w:tc>
      </w:tr>
    </w:tbl>
    <w:p w14:paraId="351865C8">
      <w:pPr>
        <w:pStyle w:val="8"/>
        <w:spacing w:before="240" w:line="360" w:lineRule="auto"/>
        <w:ind w:firstLine="709"/>
        <w:jc w:val="both"/>
        <w:rPr>
          <w:rFonts w:ascii="Times New Roman" w:hAnsi="Times New Roman" w:cs="Times New Roman"/>
          <w:sz w:val="28"/>
          <w:szCs w:val="28"/>
        </w:rPr>
      </w:pPr>
    </w:p>
    <w:p w14:paraId="2751223E">
      <w:pPr>
        <w:pStyle w:val="8"/>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6.2 Затраты на оплату услуг специальной связи </w:t>
      </w:r>
      <w:r>
        <w:rPr>
          <w:rFonts w:ascii="Times New Roman" w:hAnsi="Times New Roman" w:cs="Times New Roman"/>
          <w:position w:val="-12"/>
          <w:sz w:val="28"/>
          <w:szCs w:val="28"/>
        </w:rPr>
        <w:drawing>
          <wp:inline distT="0" distB="0" distL="0" distR="0">
            <wp:extent cx="352425" cy="257175"/>
            <wp:effectExtent l="0" t="0" r="0" b="0"/>
            <wp:docPr id="147" name="Рисунок 147" descr="base_23792_85543_613"/>
            <wp:cNvGraphicFramePr/>
            <a:graphic xmlns:a="http://schemas.openxmlformats.org/drawingml/2006/main">
              <a:graphicData uri="http://schemas.openxmlformats.org/drawingml/2006/picture">
                <pic:pic xmlns:pic="http://schemas.openxmlformats.org/drawingml/2006/picture">
                  <pic:nvPicPr>
                    <pic:cNvPr id="147" name="Рисунок 147" descr="base_23792_85543_613"/>
                    <pic:cNvPicPr preferRelativeResize="0">
                      <a:picLocks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определяются по формуле:</w:t>
      </w:r>
    </w:p>
    <w:p w14:paraId="6E9B5D9E">
      <w:pPr>
        <w:pStyle w:val="8"/>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drawing>
          <wp:inline distT="0" distB="0" distL="0" distR="0">
            <wp:extent cx="1323975" cy="257175"/>
            <wp:effectExtent l="0" t="0" r="0" b="0"/>
            <wp:docPr id="148" name="Рисунок 148" descr="base_23792_85543_614"/>
            <wp:cNvGraphicFramePr/>
            <a:graphic xmlns:a="http://schemas.openxmlformats.org/drawingml/2006/main">
              <a:graphicData uri="http://schemas.openxmlformats.org/drawingml/2006/picture">
                <pic:pic xmlns:pic="http://schemas.openxmlformats.org/drawingml/2006/picture">
                  <pic:nvPicPr>
                    <pic:cNvPr id="148" name="Рисунок 148" descr="base_23792_85543_614"/>
                    <pic:cNvPicPr preferRelativeResize="0">
                      <a:picLocks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a:xfrm>
                      <a:off x="0" y="0"/>
                      <a:ext cx="1323975" cy="257175"/>
                    </a:xfrm>
                    <a:prstGeom prst="rect">
                      <a:avLst/>
                    </a:prstGeom>
                    <a:noFill/>
                    <a:ln>
                      <a:noFill/>
                    </a:ln>
                  </pic:spPr>
                </pic:pic>
              </a:graphicData>
            </a:graphic>
          </wp:inline>
        </w:drawing>
      </w:r>
    </w:p>
    <w:p w14:paraId="59635FF9">
      <w:pPr>
        <w:pStyle w:val="8"/>
        <w:spacing w:line="360" w:lineRule="auto"/>
        <w:ind w:firstLine="709"/>
        <w:jc w:val="both"/>
        <w:rPr>
          <w:rFonts w:ascii="Times New Roman" w:hAnsi="Times New Roman" w:cs="Times New Roman"/>
          <w:sz w:val="28"/>
          <w:szCs w:val="28"/>
        </w:rPr>
      </w:pPr>
      <w:r>
        <w:rPr>
          <w:rFonts w:ascii="Times New Roman" w:hAnsi="Times New Roman" w:cs="Times New Roman"/>
          <w:position w:val="-12"/>
          <w:sz w:val="28"/>
          <w:szCs w:val="28"/>
        </w:rPr>
        <w:drawing>
          <wp:inline distT="0" distB="0" distL="0" distR="0">
            <wp:extent cx="257175" cy="257175"/>
            <wp:effectExtent l="0" t="0" r="0" b="0"/>
            <wp:docPr id="149" name="Рисунок 149" descr="base_23792_85543_615"/>
            <wp:cNvGraphicFramePr/>
            <a:graphic xmlns:a="http://schemas.openxmlformats.org/drawingml/2006/main">
              <a:graphicData uri="http://schemas.openxmlformats.org/drawingml/2006/picture">
                <pic:pic xmlns:pic="http://schemas.openxmlformats.org/drawingml/2006/picture">
                  <pic:nvPicPr>
                    <pic:cNvPr id="149" name="Рисунок 149" descr="base_23792_85543_615"/>
                    <pic:cNvPicPr preferRelativeResize="0">
                      <a:picLocks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a:xfrm>
                      <a:off x="0" y="0"/>
                      <a:ext cx="257175" cy="257175"/>
                    </a:xfrm>
                    <a:prstGeom prst="rect">
                      <a:avLst/>
                    </a:prstGeom>
                    <a:noFill/>
                    <a:ln>
                      <a:noFill/>
                    </a:ln>
                  </pic:spPr>
                </pic:pic>
              </a:graphicData>
            </a:graphic>
          </wp:inline>
        </w:drawing>
      </w:r>
      <w:r>
        <w:rPr>
          <w:rFonts w:ascii="Times New Roman" w:hAnsi="Times New Roman" w:cs="Times New Roman"/>
          <w:sz w:val="28"/>
          <w:szCs w:val="28"/>
        </w:rPr>
        <w:t xml:space="preserve"> – планируемое количество листов (пакетов) исходящей информации в год;</w:t>
      </w:r>
    </w:p>
    <w:p w14:paraId="5465AABF">
      <w:pPr>
        <w:pStyle w:val="8"/>
        <w:spacing w:line="360" w:lineRule="auto"/>
        <w:ind w:firstLine="709"/>
        <w:jc w:val="both"/>
        <w:rPr>
          <w:rFonts w:ascii="Times New Roman" w:hAnsi="Times New Roman" w:cs="Times New Roman"/>
          <w:sz w:val="28"/>
          <w:szCs w:val="28"/>
        </w:rPr>
      </w:pPr>
      <w:r>
        <w:rPr>
          <w:rFonts w:ascii="Times New Roman" w:hAnsi="Times New Roman" w:cs="Times New Roman"/>
          <w:position w:val="-12"/>
          <w:sz w:val="28"/>
          <w:szCs w:val="28"/>
        </w:rPr>
        <w:drawing>
          <wp:inline distT="0" distB="0" distL="0" distR="0">
            <wp:extent cx="219075" cy="257175"/>
            <wp:effectExtent l="0" t="0" r="0" b="0"/>
            <wp:docPr id="150" name="Рисунок 150" descr="base_23792_85543_616"/>
            <wp:cNvGraphicFramePr/>
            <a:graphic xmlns:a="http://schemas.openxmlformats.org/drawingml/2006/main">
              <a:graphicData uri="http://schemas.openxmlformats.org/drawingml/2006/picture">
                <pic:pic xmlns:pic="http://schemas.openxmlformats.org/drawingml/2006/picture">
                  <pic:nvPicPr>
                    <pic:cNvPr id="150" name="Рисунок 150" descr="base_23792_85543_616"/>
                    <pic:cNvPicPr preferRelativeResize="0">
                      <a:picLocks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a:xfrm>
                      <a:off x="0" y="0"/>
                      <a:ext cx="219075" cy="257175"/>
                    </a:xfrm>
                    <a:prstGeom prst="rect">
                      <a:avLst/>
                    </a:prstGeom>
                    <a:noFill/>
                    <a:ln>
                      <a:noFill/>
                    </a:ln>
                  </pic:spPr>
                </pic:pic>
              </a:graphicData>
            </a:graphic>
          </wp:inline>
        </w:drawing>
      </w:r>
      <w:r>
        <w:rPr>
          <w:rFonts w:ascii="Times New Roman" w:hAnsi="Times New Roman" w:cs="Times New Roman"/>
          <w:sz w:val="28"/>
          <w:szCs w:val="28"/>
        </w:rPr>
        <w:t xml:space="preserve"> – цена одного листа (пакета) исходящей информации, отправляемой по каналам специальной связи.</w:t>
      </w:r>
    </w:p>
    <w:p w14:paraId="5B5452AD">
      <w:pPr>
        <w:pStyle w:val="8"/>
        <w:spacing w:line="360" w:lineRule="auto"/>
        <w:ind w:firstLine="709"/>
        <w:jc w:val="both"/>
        <w:rPr>
          <w:rFonts w:ascii="Times New Roman" w:hAnsi="Times New Roman" w:cs="Times New Roman"/>
          <w:sz w:val="28"/>
          <w:szCs w:val="28"/>
        </w:rPr>
      </w:pPr>
      <w:bookmarkStart w:id="4" w:name="_Hlk107410301"/>
      <w:r>
        <w:rPr>
          <w:rFonts w:ascii="Times New Roman" w:hAnsi="Times New Roman" w:cs="Times New Roman"/>
          <w:sz w:val="28"/>
          <w:szCs w:val="28"/>
        </w:rPr>
        <w:t xml:space="preserve">Расчет затрат производится в соответствии с нормативами согласно таблице №26. </w:t>
      </w:r>
    </w:p>
    <w:bookmarkEnd w:id="4"/>
    <w:p w14:paraId="4CF4A943">
      <w:pPr>
        <w:jc w:val="right"/>
        <w:rPr>
          <w:rFonts w:ascii="Times New Roman" w:hAnsi="Times New Roman" w:cs="Times New Roman"/>
          <w:sz w:val="28"/>
          <w:szCs w:val="28"/>
        </w:rPr>
      </w:pPr>
      <w:r>
        <w:rPr>
          <w:rFonts w:ascii="Times New Roman" w:hAnsi="Times New Roman" w:cs="Times New Roman"/>
          <w:sz w:val="28"/>
          <w:szCs w:val="28"/>
        </w:rPr>
        <w:t>Таблица №26</w:t>
      </w:r>
    </w:p>
    <w:p w14:paraId="610E5730">
      <w:pPr>
        <w:widowControl w:val="0"/>
        <w:autoSpaceDE w:val="0"/>
        <w:autoSpaceDN w:val="0"/>
        <w:adjustRightInd w:val="0"/>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специальной связи</w:t>
      </w:r>
    </w:p>
    <w:tbl>
      <w:tblPr>
        <w:tblStyle w:val="3"/>
        <w:tblW w:w="964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73"/>
        <w:gridCol w:w="6068"/>
      </w:tblGrid>
      <w:tr w14:paraId="46492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73" w:type="dxa"/>
            <w:shd w:val="clear" w:color="auto" w:fill="auto"/>
          </w:tcPr>
          <w:p w14:paraId="7E33C33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Количество листов (пакетов) исходящей информации в год (штук)</w:t>
            </w:r>
          </w:p>
        </w:tc>
        <w:tc>
          <w:tcPr>
            <w:tcW w:w="6068" w:type="dxa"/>
            <w:shd w:val="clear" w:color="auto" w:fill="auto"/>
          </w:tcPr>
          <w:p w14:paraId="22D4518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Цена одного листа (пакета) исходящей информации (рублей)</w:t>
            </w:r>
          </w:p>
        </w:tc>
      </w:tr>
      <w:tr w14:paraId="56BBE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2" w:hRule="atLeast"/>
        </w:trPr>
        <w:tc>
          <w:tcPr>
            <w:tcW w:w="3573" w:type="dxa"/>
            <w:shd w:val="clear" w:color="auto" w:fill="auto"/>
          </w:tcPr>
          <w:p w14:paraId="00ACE14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w:t>
            </w:r>
          </w:p>
        </w:tc>
        <w:tc>
          <w:tcPr>
            <w:tcW w:w="6068" w:type="dxa"/>
            <w:shd w:val="clear" w:color="auto" w:fill="auto"/>
          </w:tcPr>
          <w:p w14:paraId="034A5C19">
            <w:pPr>
              <w:ind w:firstLine="567"/>
              <w:jc w:val="center"/>
              <w:rPr>
                <w:rFonts w:ascii="Times New Roman" w:hAnsi="Times New Roman" w:cs="Times New Roman"/>
                <w:sz w:val="28"/>
                <w:szCs w:val="28"/>
              </w:rPr>
            </w:pPr>
            <w:r>
              <w:rPr>
                <w:rFonts w:ascii="Times New Roman" w:hAnsi="Times New Roman" w:cs="Times New Roman"/>
                <w:sz w:val="28"/>
                <w:szCs w:val="28"/>
              </w:rPr>
              <w:t xml:space="preserve">цена одного пакета определяется в соответствии с тарифом, устанавливаемым ФГУП «Главный центр специальной связи» по Кировской области  </w:t>
            </w:r>
          </w:p>
        </w:tc>
      </w:tr>
    </w:tbl>
    <w:p w14:paraId="3D71AF0E">
      <w:pPr>
        <w:autoSpaceDE w:val="0"/>
        <w:autoSpaceDN w:val="0"/>
        <w:adjustRightInd w:val="0"/>
        <w:spacing w:after="0" w:line="360" w:lineRule="auto"/>
        <w:ind w:firstLine="709"/>
        <w:jc w:val="both"/>
        <w:rPr>
          <w:rFonts w:ascii="Times New Roman" w:hAnsi="Times New Roman" w:eastAsia="Calibri" w:cs="Times New Roman"/>
          <w:sz w:val="28"/>
          <w:szCs w:val="28"/>
        </w:rPr>
      </w:pPr>
    </w:p>
    <w:p w14:paraId="4FA1645A">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eastAsia="Calibri" w:cs="Times New Roman"/>
          <w:sz w:val="28"/>
          <w:szCs w:val="28"/>
        </w:rPr>
        <w:t>7. Затраты на техническое обслуживание и регламентно-профилактический ремонт систем кондиционирования и вентиляции (З</w:t>
      </w:r>
      <w:r>
        <w:rPr>
          <w:rFonts w:ascii="Times New Roman" w:hAnsi="Times New Roman" w:eastAsia="Calibri" w:cs="Times New Roman"/>
          <w:sz w:val="28"/>
          <w:szCs w:val="28"/>
          <w:vertAlign w:val="subscript"/>
        </w:rPr>
        <w:t>скив</w:t>
      </w:r>
      <w:r>
        <w:rPr>
          <w:rFonts w:ascii="Times New Roman" w:hAnsi="Times New Roman" w:eastAsia="Calibri" w:cs="Times New Roman"/>
          <w:sz w:val="28"/>
          <w:szCs w:val="28"/>
        </w:rPr>
        <w:t>) определяются по формуле:</w:t>
      </w:r>
    </w:p>
    <w:p w14:paraId="7D93B6D2">
      <w:pPr>
        <w:autoSpaceDE w:val="0"/>
        <w:autoSpaceDN w:val="0"/>
        <w:adjustRightInd w:val="0"/>
        <w:spacing w:after="0" w:line="240" w:lineRule="auto"/>
        <w:jc w:val="center"/>
        <w:rPr>
          <w:rFonts w:ascii="Times New Roman" w:hAnsi="Times New Roman" w:eastAsia="Calibri" w:cs="Times New Roman"/>
          <w:sz w:val="28"/>
          <w:szCs w:val="28"/>
        </w:rPr>
      </w:pPr>
      <w:r>
        <w:rPr>
          <w:rFonts w:ascii="Times New Roman" w:hAnsi="Times New Roman" w:eastAsia="Calibri" w:cs="Times New Roman"/>
          <w:sz w:val="28"/>
          <w:szCs w:val="28"/>
          <w:lang w:eastAsia="ru-RU"/>
        </w:rPr>
        <w:drawing>
          <wp:inline distT="0" distB="0" distL="0" distR="0">
            <wp:extent cx="1898015" cy="474345"/>
            <wp:effectExtent l="0" t="0" r="6985" b="1905"/>
            <wp:docPr id="367" name="Рисунок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Рисунок 367"/>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a:xfrm>
                      <a:off x="0" y="0"/>
                      <a:ext cx="1898015" cy="474345"/>
                    </a:xfrm>
                    <a:prstGeom prst="rect">
                      <a:avLst/>
                    </a:prstGeom>
                    <a:noFill/>
                    <a:ln>
                      <a:noFill/>
                    </a:ln>
                  </pic:spPr>
                </pic:pic>
              </a:graphicData>
            </a:graphic>
          </wp:inline>
        </w:drawing>
      </w:r>
    </w:p>
    <w:p w14:paraId="26D9863C">
      <w:pPr>
        <w:autoSpaceDE w:val="0"/>
        <w:autoSpaceDN w:val="0"/>
        <w:adjustRightInd w:val="0"/>
        <w:spacing w:after="0" w:line="240" w:lineRule="auto"/>
        <w:ind w:firstLine="539"/>
        <w:jc w:val="both"/>
        <w:rPr>
          <w:rFonts w:ascii="Times New Roman" w:hAnsi="Times New Roman" w:eastAsia="Calibri" w:cs="Times New Roman"/>
          <w:sz w:val="28"/>
          <w:szCs w:val="28"/>
        </w:rPr>
      </w:pPr>
      <w:r>
        <w:rPr>
          <w:rFonts w:ascii="Times New Roman" w:hAnsi="Times New Roman" w:eastAsia="Calibri" w:cs="Times New Roman"/>
          <w:sz w:val="28"/>
          <w:szCs w:val="28"/>
        </w:rPr>
        <w:t>Qi</w:t>
      </w:r>
      <w:r>
        <w:rPr>
          <w:rFonts w:ascii="Times New Roman" w:hAnsi="Times New Roman" w:eastAsia="Calibri" w:cs="Times New Roman"/>
          <w:sz w:val="28"/>
          <w:szCs w:val="28"/>
          <w:vertAlign w:val="subscript"/>
        </w:rPr>
        <w:t>скив</w:t>
      </w:r>
      <w:r>
        <w:rPr>
          <w:rFonts w:ascii="Times New Roman" w:hAnsi="Times New Roman" w:eastAsia="Calibri" w:cs="Times New Roman"/>
          <w:sz w:val="28"/>
          <w:szCs w:val="28"/>
        </w:rPr>
        <w:t xml:space="preserve"> - количество i-х установок кондиционирования и элементов систем вентиляции;</w:t>
      </w:r>
    </w:p>
    <w:p w14:paraId="01FF6DAA">
      <w:pPr>
        <w:autoSpaceDE w:val="0"/>
        <w:autoSpaceDN w:val="0"/>
        <w:adjustRightInd w:val="0"/>
        <w:spacing w:after="0" w:line="360" w:lineRule="auto"/>
        <w:ind w:firstLine="539"/>
        <w:jc w:val="both"/>
        <w:rPr>
          <w:rFonts w:ascii="Times New Roman" w:hAnsi="Times New Roman" w:eastAsia="Calibri" w:cs="Times New Roman"/>
          <w:sz w:val="28"/>
          <w:szCs w:val="28"/>
        </w:rPr>
      </w:pPr>
      <w:r>
        <w:rPr>
          <w:rFonts w:ascii="Times New Roman" w:hAnsi="Times New Roman" w:eastAsia="Calibri" w:cs="Times New Roman"/>
          <w:sz w:val="28"/>
          <w:szCs w:val="28"/>
        </w:rPr>
        <w:t>Pi</w:t>
      </w:r>
      <w:r>
        <w:rPr>
          <w:rFonts w:ascii="Times New Roman" w:hAnsi="Times New Roman" w:eastAsia="Calibri" w:cs="Times New Roman"/>
          <w:sz w:val="28"/>
          <w:szCs w:val="28"/>
          <w:vertAlign w:val="subscript"/>
        </w:rPr>
        <w:t>скив</w:t>
      </w:r>
      <w:r>
        <w:rPr>
          <w:rFonts w:ascii="Times New Roman" w:hAnsi="Times New Roman" w:eastAsia="Calibri" w:cs="Times New Roman"/>
          <w:sz w:val="28"/>
          <w:szCs w:val="28"/>
        </w:rPr>
        <w:t xml:space="preserve"> - цена технического обслуживания и регламентно-профилактического ремонта 1 i-й установки кондиционирования и элементов вентиляции.</w:t>
      </w:r>
    </w:p>
    <w:p w14:paraId="32EA13AA">
      <w:pPr>
        <w:pStyle w:val="8"/>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производится в соответствии с нормативами согласно таблице №27. </w:t>
      </w:r>
    </w:p>
    <w:p w14:paraId="61676C85">
      <w:pPr>
        <w:autoSpaceDE w:val="0"/>
        <w:autoSpaceDN w:val="0"/>
        <w:adjustRightInd w:val="0"/>
        <w:spacing w:after="0" w:line="360" w:lineRule="auto"/>
        <w:ind w:firstLine="539"/>
        <w:jc w:val="both"/>
        <w:rPr>
          <w:rFonts w:ascii="Times New Roman" w:hAnsi="Times New Roman" w:eastAsia="Calibri" w:cs="Times New Roman"/>
          <w:sz w:val="28"/>
          <w:szCs w:val="28"/>
        </w:rPr>
      </w:pPr>
    </w:p>
    <w:p w14:paraId="3F1EB945">
      <w:pPr>
        <w:autoSpaceDE w:val="0"/>
        <w:autoSpaceDN w:val="0"/>
        <w:adjustRightInd w:val="0"/>
        <w:spacing w:after="0" w:line="360" w:lineRule="auto"/>
        <w:ind w:firstLine="539"/>
        <w:jc w:val="both"/>
        <w:rPr>
          <w:rFonts w:ascii="Times New Roman" w:hAnsi="Times New Roman" w:eastAsia="Calibri" w:cs="Times New Roman"/>
          <w:sz w:val="28"/>
          <w:szCs w:val="28"/>
        </w:rPr>
      </w:pPr>
      <w:r>
        <w:rPr>
          <w:rFonts w:ascii="Times New Roman" w:hAnsi="Times New Roman" w:eastAsia="Calibri" w:cs="Times New Roman"/>
          <w:sz w:val="28"/>
          <w:szCs w:val="28"/>
        </w:rPr>
        <w:tab/>
      </w:r>
      <w:r>
        <w:rPr>
          <w:rFonts w:ascii="Times New Roman" w:hAnsi="Times New Roman" w:eastAsia="Calibri" w:cs="Times New Roman"/>
          <w:sz w:val="28"/>
          <w:szCs w:val="28"/>
        </w:rPr>
        <w:tab/>
      </w:r>
      <w:r>
        <w:rPr>
          <w:rFonts w:ascii="Times New Roman" w:hAnsi="Times New Roman" w:eastAsia="Calibri" w:cs="Times New Roman"/>
          <w:sz w:val="28"/>
          <w:szCs w:val="28"/>
        </w:rPr>
        <w:tab/>
      </w:r>
      <w:r>
        <w:rPr>
          <w:rFonts w:ascii="Times New Roman" w:hAnsi="Times New Roman" w:eastAsia="Calibri" w:cs="Times New Roman"/>
          <w:sz w:val="28"/>
          <w:szCs w:val="28"/>
        </w:rPr>
        <w:tab/>
      </w:r>
      <w:r>
        <w:rPr>
          <w:rFonts w:ascii="Times New Roman" w:hAnsi="Times New Roman" w:eastAsia="Calibri" w:cs="Times New Roman"/>
          <w:sz w:val="28"/>
          <w:szCs w:val="28"/>
        </w:rPr>
        <w:tab/>
      </w:r>
      <w:r>
        <w:rPr>
          <w:rFonts w:ascii="Times New Roman" w:hAnsi="Times New Roman" w:eastAsia="Calibri" w:cs="Times New Roman"/>
          <w:sz w:val="28"/>
          <w:szCs w:val="28"/>
        </w:rPr>
        <w:tab/>
      </w:r>
      <w:r>
        <w:rPr>
          <w:rFonts w:ascii="Times New Roman" w:hAnsi="Times New Roman" w:eastAsia="Calibri" w:cs="Times New Roman"/>
          <w:sz w:val="28"/>
          <w:szCs w:val="28"/>
        </w:rPr>
        <w:tab/>
      </w:r>
      <w:r>
        <w:rPr>
          <w:rFonts w:ascii="Times New Roman" w:hAnsi="Times New Roman" w:eastAsia="Calibri" w:cs="Times New Roman"/>
          <w:sz w:val="28"/>
          <w:szCs w:val="28"/>
        </w:rPr>
        <w:tab/>
      </w:r>
      <w:r>
        <w:rPr>
          <w:rFonts w:ascii="Times New Roman" w:hAnsi="Times New Roman" w:eastAsia="Calibri" w:cs="Times New Roman"/>
          <w:sz w:val="28"/>
          <w:szCs w:val="28"/>
        </w:rPr>
        <w:tab/>
      </w:r>
      <w:r>
        <w:rPr>
          <w:rFonts w:ascii="Times New Roman" w:hAnsi="Times New Roman" w:eastAsia="Calibri" w:cs="Times New Roman"/>
          <w:sz w:val="28"/>
          <w:szCs w:val="28"/>
        </w:rPr>
        <w:tab/>
      </w:r>
      <w:r>
        <w:rPr>
          <w:rFonts w:ascii="Times New Roman" w:hAnsi="Times New Roman" w:eastAsia="Calibri" w:cs="Times New Roman"/>
          <w:sz w:val="28"/>
          <w:szCs w:val="28"/>
        </w:rPr>
        <w:tab/>
      </w:r>
      <w:r>
        <w:rPr>
          <w:rFonts w:ascii="Times New Roman" w:hAnsi="Times New Roman" w:eastAsia="Calibri" w:cs="Times New Roman"/>
          <w:sz w:val="28"/>
          <w:szCs w:val="28"/>
        </w:rPr>
        <w:t xml:space="preserve">     Таблица №27</w:t>
      </w:r>
    </w:p>
    <w:p w14:paraId="2A8705E7">
      <w:pPr>
        <w:autoSpaceDE w:val="0"/>
        <w:autoSpaceDN w:val="0"/>
        <w:adjustRightInd w:val="0"/>
        <w:spacing w:after="120" w:line="240" w:lineRule="auto"/>
        <w:ind w:firstLine="539"/>
        <w:jc w:val="center"/>
        <w:rPr>
          <w:rFonts w:ascii="Times New Roman" w:hAnsi="Times New Roman" w:eastAsia="Calibri" w:cs="Times New Roman"/>
          <w:sz w:val="28"/>
          <w:szCs w:val="28"/>
        </w:rPr>
      </w:pPr>
      <w:r>
        <w:rPr>
          <w:rFonts w:ascii="Times New Roman" w:hAnsi="Times New Roman" w:eastAsia="Calibri" w:cs="Times New Roman"/>
          <w:sz w:val="28"/>
          <w:szCs w:val="28"/>
        </w:rPr>
        <w:t>Нормативы затрат на техническое обслуживание и регламентно-профилактический ремонт систем кондиционирования и вентиляции</w:t>
      </w:r>
    </w:p>
    <w:tbl>
      <w:tblPr>
        <w:tblStyle w:val="7"/>
        <w:tblW w:w="95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3"/>
        <w:gridCol w:w="7280"/>
      </w:tblGrid>
      <w:tr w14:paraId="669E8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2263" w:type="dxa"/>
          </w:tcPr>
          <w:p w14:paraId="18FA3FFE">
            <w:pPr>
              <w:widowControl w:val="0"/>
              <w:autoSpaceDE w:val="0"/>
              <w:autoSpaceDN w:val="0"/>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Наименование оборудования </w:t>
            </w:r>
          </w:p>
        </w:tc>
        <w:tc>
          <w:tcPr>
            <w:tcW w:w="7280" w:type="dxa"/>
          </w:tcPr>
          <w:p w14:paraId="5375BB47">
            <w:pPr>
              <w:widowControl w:val="0"/>
              <w:autoSpaceDE w:val="0"/>
              <w:autoSpaceDN w:val="0"/>
              <w:spacing w:after="0" w:line="240" w:lineRule="auto"/>
              <w:jc w:val="center"/>
              <w:rPr>
                <w:rFonts w:ascii="Times New Roman" w:hAnsi="Times New Roman" w:eastAsia="Calibri" w:cs="Times New Roman"/>
                <w:sz w:val="28"/>
                <w:szCs w:val="28"/>
              </w:rPr>
            </w:pPr>
            <w:r>
              <w:rPr>
                <w:rFonts w:ascii="Times New Roman" w:hAnsi="Times New Roman" w:eastAsia="Calibri" w:cs="Times New Roman"/>
                <w:sz w:val="28"/>
                <w:szCs w:val="28"/>
              </w:rPr>
              <w:t>Норматив цены разового технического обслуживания и регламентно-профилактического ремонта систем кондиционирования и вентиляции на одну единицу в месяц (рублей)</w:t>
            </w:r>
          </w:p>
        </w:tc>
      </w:tr>
      <w:tr w14:paraId="699F3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2263" w:type="dxa"/>
          </w:tcPr>
          <w:p w14:paraId="69ED8FAA">
            <w:pPr>
              <w:widowControl w:val="0"/>
              <w:autoSpaceDE w:val="0"/>
              <w:autoSpaceDN w:val="0"/>
              <w:spacing w:after="0" w:line="360" w:lineRule="auto"/>
              <w:ind w:right="-456"/>
              <w:rPr>
                <w:rFonts w:ascii="Times New Roman" w:hAnsi="Times New Roman" w:eastAsia="Calibri" w:cs="Times New Roman"/>
                <w:sz w:val="28"/>
                <w:szCs w:val="28"/>
              </w:rPr>
            </w:pPr>
            <w:r>
              <w:rPr>
                <w:rFonts w:ascii="Times New Roman" w:hAnsi="Times New Roman" w:eastAsia="Calibri" w:cs="Times New Roman"/>
                <w:sz w:val="28"/>
                <w:szCs w:val="28"/>
              </w:rPr>
              <w:t xml:space="preserve">Кондиционер </w:t>
            </w:r>
          </w:p>
        </w:tc>
        <w:tc>
          <w:tcPr>
            <w:tcW w:w="7280" w:type="dxa"/>
          </w:tcPr>
          <w:p w14:paraId="59AD54E8">
            <w:pPr>
              <w:widowControl w:val="0"/>
              <w:autoSpaceDE w:val="0"/>
              <w:autoSpaceDN w:val="0"/>
              <w:spacing w:after="0" w:line="360" w:lineRule="auto"/>
              <w:ind w:right="-456"/>
              <w:rPr>
                <w:rFonts w:ascii="Times New Roman" w:hAnsi="Times New Roman" w:eastAsia="Calibri" w:cs="Times New Roman"/>
                <w:sz w:val="28"/>
                <w:szCs w:val="28"/>
              </w:rPr>
            </w:pPr>
            <w:r>
              <w:rPr>
                <w:rFonts w:ascii="Times New Roman" w:hAnsi="Times New Roman" w:eastAsia="Calibri" w:cs="Times New Roman"/>
                <w:sz w:val="28"/>
                <w:szCs w:val="28"/>
              </w:rPr>
              <w:t>Не более 5 000,00</w:t>
            </w:r>
          </w:p>
        </w:tc>
      </w:tr>
      <w:tr w14:paraId="6F6BF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2263" w:type="dxa"/>
          </w:tcPr>
          <w:p w14:paraId="1878DAF6">
            <w:pPr>
              <w:widowControl w:val="0"/>
              <w:autoSpaceDE w:val="0"/>
              <w:autoSpaceDN w:val="0"/>
              <w:spacing w:after="0" w:line="360" w:lineRule="auto"/>
              <w:ind w:right="-456"/>
              <w:rPr>
                <w:rFonts w:ascii="Times New Roman" w:hAnsi="Times New Roman" w:eastAsia="Calibri" w:cs="Times New Roman"/>
                <w:sz w:val="28"/>
                <w:szCs w:val="28"/>
              </w:rPr>
            </w:pPr>
            <w:r>
              <w:rPr>
                <w:rFonts w:ascii="Times New Roman" w:hAnsi="Times New Roman" w:eastAsia="Calibri" w:cs="Times New Roman"/>
                <w:sz w:val="28"/>
                <w:szCs w:val="28"/>
              </w:rPr>
              <w:t>Сплит-система</w:t>
            </w:r>
          </w:p>
        </w:tc>
        <w:tc>
          <w:tcPr>
            <w:tcW w:w="7280" w:type="dxa"/>
          </w:tcPr>
          <w:p w14:paraId="6F74D067">
            <w:pPr>
              <w:widowControl w:val="0"/>
              <w:autoSpaceDE w:val="0"/>
              <w:autoSpaceDN w:val="0"/>
              <w:spacing w:after="0" w:line="360" w:lineRule="auto"/>
              <w:ind w:right="-456"/>
              <w:rPr>
                <w:rFonts w:ascii="Times New Roman" w:hAnsi="Times New Roman" w:eastAsia="Calibri" w:cs="Times New Roman"/>
                <w:sz w:val="28"/>
                <w:szCs w:val="28"/>
              </w:rPr>
            </w:pPr>
            <w:r>
              <w:rPr>
                <w:rFonts w:ascii="Times New Roman" w:hAnsi="Times New Roman" w:eastAsia="Calibri" w:cs="Times New Roman"/>
                <w:sz w:val="28"/>
                <w:szCs w:val="28"/>
              </w:rPr>
              <w:t>Не более 5 000,00</w:t>
            </w:r>
          </w:p>
        </w:tc>
      </w:tr>
    </w:tbl>
    <w:p w14:paraId="1BAFF11F">
      <w:pPr>
        <w:pStyle w:val="8"/>
        <w:spacing w:line="360" w:lineRule="auto"/>
        <w:jc w:val="both"/>
        <w:rPr>
          <w:rFonts w:ascii="Times New Roman" w:hAnsi="Times New Roman" w:cs="Times New Roman"/>
          <w:sz w:val="28"/>
          <w:szCs w:val="28"/>
        </w:rPr>
      </w:pPr>
    </w:p>
    <w:p w14:paraId="47C1FB51">
      <w:pPr>
        <w:pStyle w:val="8"/>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Затраты на обязательное государственное страхование жизни и здоровья государственных гражданских служащих Кировской области, определяемые в соответствии с законом Кировской области от 01.11.2012 </w:t>
      </w:r>
      <w:r>
        <w:rPr>
          <w:rFonts w:ascii="Times New Roman" w:hAnsi="Times New Roman" w:cs="Times New Roman"/>
          <w:sz w:val="28"/>
          <w:szCs w:val="28"/>
        </w:rPr>
        <w:br w:type="textWrapping"/>
      </w:r>
      <w:r>
        <w:rPr>
          <w:rFonts w:ascii="Times New Roman" w:hAnsi="Times New Roman" w:cs="Times New Roman"/>
          <w:sz w:val="28"/>
          <w:szCs w:val="28"/>
        </w:rPr>
        <w:t>№ 208-ЗО «Об обязательном государственном страховании жизни и здоровья государственных гражданских служащих Кировской области» по фактическим затратам в отчетном финансовом году.</w:t>
      </w:r>
    </w:p>
    <w:p w14:paraId="5BD26E55">
      <w:pPr>
        <w:pStyle w:val="8"/>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производится в соответствии с нормативами согласно таблице №28. </w:t>
      </w:r>
    </w:p>
    <w:p w14:paraId="694B2E9F">
      <w:pPr>
        <w:pStyle w:val="8"/>
        <w:spacing w:line="360" w:lineRule="auto"/>
        <w:ind w:firstLine="709"/>
        <w:jc w:val="both"/>
        <w:rPr>
          <w:rFonts w:ascii="Times New Roman" w:hAnsi="Times New Roman" w:cs="Times New Roman"/>
          <w:sz w:val="28"/>
          <w:szCs w:val="28"/>
        </w:rPr>
      </w:pPr>
    </w:p>
    <w:p w14:paraId="77D33015">
      <w:pPr>
        <w:pStyle w:val="8"/>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Таблица №28</w:t>
      </w:r>
    </w:p>
    <w:p w14:paraId="7BE897C7">
      <w:pPr>
        <w:pStyle w:val="8"/>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обязательное государственное страхование жизни и здоровья государственных гражданских служащих</w:t>
      </w:r>
    </w:p>
    <w:tbl>
      <w:tblPr>
        <w:tblStyle w:val="7"/>
        <w:tblW w:w="95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4"/>
        <w:gridCol w:w="5579"/>
      </w:tblGrid>
      <w:tr w14:paraId="355EF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3964" w:type="dxa"/>
          </w:tcPr>
          <w:p w14:paraId="25139AC4">
            <w:pPr>
              <w:widowControl w:val="0"/>
              <w:autoSpaceDE w:val="0"/>
              <w:autoSpaceDN w:val="0"/>
              <w:spacing w:after="0" w:line="240" w:lineRule="auto"/>
              <w:jc w:val="center"/>
              <w:rPr>
                <w:rFonts w:ascii="Times New Roman" w:hAnsi="Times New Roman" w:eastAsia="Calibri" w:cs="Times New Roman"/>
                <w:sz w:val="28"/>
                <w:szCs w:val="28"/>
              </w:rPr>
            </w:pPr>
            <w:r>
              <w:rPr>
                <w:rFonts w:ascii="Times New Roman" w:hAnsi="Times New Roman" w:eastAsia="Calibri" w:cs="Times New Roman"/>
                <w:sz w:val="28"/>
                <w:szCs w:val="28"/>
              </w:rPr>
              <w:t>Количество услуги страхования</w:t>
            </w:r>
          </w:p>
        </w:tc>
        <w:tc>
          <w:tcPr>
            <w:tcW w:w="5579" w:type="dxa"/>
          </w:tcPr>
          <w:p w14:paraId="7C251336">
            <w:pPr>
              <w:widowControl w:val="0"/>
              <w:autoSpaceDE w:val="0"/>
              <w:autoSpaceDN w:val="0"/>
              <w:spacing w:after="0" w:line="240" w:lineRule="auto"/>
              <w:jc w:val="center"/>
              <w:rPr>
                <w:rFonts w:ascii="Times New Roman" w:hAnsi="Times New Roman" w:eastAsia="Calibri" w:cs="Times New Roman"/>
                <w:sz w:val="28"/>
                <w:szCs w:val="28"/>
              </w:rPr>
            </w:pPr>
            <w:r>
              <w:rPr>
                <w:rFonts w:ascii="Times New Roman" w:hAnsi="Times New Roman" w:eastAsia="Calibri" w:cs="Times New Roman"/>
                <w:sz w:val="28"/>
                <w:szCs w:val="28"/>
              </w:rPr>
              <w:t>Норматив цены на предоставление единицы услуги страхования (рублей) в год</w:t>
            </w:r>
          </w:p>
        </w:tc>
      </w:tr>
      <w:tr w14:paraId="22125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3964" w:type="dxa"/>
          </w:tcPr>
          <w:p w14:paraId="1887EE48">
            <w:pPr>
              <w:widowControl w:val="0"/>
              <w:autoSpaceDE w:val="0"/>
              <w:autoSpaceDN w:val="0"/>
              <w:spacing w:after="0" w:line="240" w:lineRule="auto"/>
              <w:ind w:right="-454"/>
              <w:rPr>
                <w:rFonts w:ascii="Times New Roman" w:hAnsi="Times New Roman" w:eastAsia="Calibri" w:cs="Times New Roman"/>
                <w:sz w:val="28"/>
                <w:szCs w:val="28"/>
              </w:rPr>
            </w:pPr>
            <w:r>
              <w:rPr>
                <w:rFonts w:ascii="Times New Roman" w:hAnsi="Times New Roman" w:eastAsia="Calibri" w:cs="Times New Roman"/>
                <w:sz w:val="28"/>
                <w:szCs w:val="28"/>
              </w:rPr>
              <w:t>В зависимости от количества работников</w:t>
            </w:r>
          </w:p>
        </w:tc>
        <w:tc>
          <w:tcPr>
            <w:tcW w:w="5579" w:type="dxa"/>
          </w:tcPr>
          <w:p w14:paraId="31CD0A56">
            <w:pPr>
              <w:widowControl w:val="0"/>
              <w:autoSpaceDE w:val="0"/>
              <w:autoSpaceDN w:val="0"/>
              <w:spacing w:after="0" w:line="360" w:lineRule="auto"/>
              <w:ind w:right="-456"/>
              <w:rPr>
                <w:rFonts w:ascii="Times New Roman" w:hAnsi="Times New Roman" w:eastAsia="Calibri" w:cs="Times New Roman"/>
                <w:sz w:val="28"/>
                <w:szCs w:val="28"/>
              </w:rPr>
            </w:pPr>
            <w:r>
              <w:rPr>
                <w:rFonts w:ascii="Times New Roman" w:hAnsi="Times New Roman" w:eastAsia="Calibri" w:cs="Times New Roman"/>
                <w:sz w:val="28"/>
                <w:szCs w:val="28"/>
              </w:rPr>
              <w:t>не более 1 000,00</w:t>
            </w:r>
          </w:p>
        </w:tc>
      </w:tr>
    </w:tbl>
    <w:p w14:paraId="768F00A3">
      <w:pPr>
        <w:widowControl w:val="0"/>
        <w:autoSpaceDE w:val="0"/>
        <w:autoSpaceDN w:val="0"/>
        <w:spacing w:after="0" w:line="360" w:lineRule="auto"/>
        <w:ind w:firstLine="709"/>
        <w:jc w:val="both"/>
        <w:rPr>
          <w:rFonts w:ascii="Times New Roman" w:hAnsi="Times New Roman" w:eastAsia="Times New Roman" w:cs="Times New Roman"/>
          <w:sz w:val="28"/>
          <w:szCs w:val="28"/>
          <w:lang w:eastAsia="ru-RU"/>
        </w:rPr>
      </w:pPr>
    </w:p>
    <w:p w14:paraId="0289F6ED">
      <w:pPr>
        <w:widowControl w:val="0"/>
        <w:autoSpaceDE w:val="0"/>
        <w:autoSpaceDN w:val="0"/>
        <w:spacing w:after="0" w:line="36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9. Затраты на приобретение мебели </w:t>
      </w:r>
      <w:r>
        <w:rPr>
          <w:rFonts w:ascii="Times New Roman" w:hAnsi="Times New Roman" w:eastAsia="Times New Roman" w:cs="Times New Roman"/>
          <w:position w:val="-12"/>
          <w:sz w:val="28"/>
          <w:szCs w:val="28"/>
          <w:lang w:eastAsia="ru-RU"/>
        </w:rPr>
        <w:drawing>
          <wp:inline distT="0" distB="0" distL="0" distR="0">
            <wp:extent cx="476885" cy="254635"/>
            <wp:effectExtent l="0" t="0" r="0" b="0"/>
            <wp:docPr id="110" name="Рисунок 110" descr="base_23792_85543_835"/>
            <wp:cNvGraphicFramePr/>
            <a:graphic xmlns:a="http://schemas.openxmlformats.org/drawingml/2006/main">
              <a:graphicData uri="http://schemas.openxmlformats.org/drawingml/2006/picture">
                <pic:pic xmlns:pic="http://schemas.openxmlformats.org/drawingml/2006/picture">
                  <pic:nvPicPr>
                    <pic:cNvPr id="110" name="Рисунок 110" descr="base_23792_85543_835"/>
                    <pic:cNvPicPr preferRelativeResize="0">
                      <a:picLocks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a:xfrm>
                      <a:off x="0" y="0"/>
                      <a:ext cx="476885" cy="254635"/>
                    </a:xfrm>
                    <a:prstGeom prst="rect">
                      <a:avLst/>
                    </a:prstGeom>
                    <a:noFill/>
                    <a:ln>
                      <a:noFill/>
                    </a:ln>
                  </pic:spPr>
                </pic:pic>
              </a:graphicData>
            </a:graphic>
          </wp:inline>
        </w:drawing>
      </w:r>
      <w:r>
        <w:rPr>
          <w:rFonts w:ascii="Times New Roman" w:hAnsi="Times New Roman" w:eastAsia="Times New Roman" w:cs="Times New Roman"/>
          <w:sz w:val="28"/>
          <w:szCs w:val="28"/>
          <w:lang w:eastAsia="ru-RU"/>
        </w:rPr>
        <w:t>, определяемые по формуле:</w:t>
      </w:r>
    </w:p>
    <w:p w14:paraId="01D28DC9">
      <w:pPr>
        <w:widowControl w:val="0"/>
        <w:autoSpaceDE w:val="0"/>
        <w:autoSpaceDN w:val="0"/>
        <w:spacing w:after="0" w:line="360" w:lineRule="auto"/>
        <w:ind w:firstLine="709"/>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drawing>
          <wp:inline distT="0" distB="0" distL="0" distR="0">
            <wp:extent cx="2019935" cy="476885"/>
            <wp:effectExtent l="0" t="0" r="0" b="0"/>
            <wp:docPr id="109" name="Рисунок 109" descr="base_23792_85543_836"/>
            <wp:cNvGraphicFramePr/>
            <a:graphic xmlns:a="http://schemas.openxmlformats.org/drawingml/2006/main">
              <a:graphicData uri="http://schemas.openxmlformats.org/drawingml/2006/picture">
                <pic:pic xmlns:pic="http://schemas.openxmlformats.org/drawingml/2006/picture">
                  <pic:nvPicPr>
                    <pic:cNvPr id="109" name="Рисунок 109" descr="base_23792_85543_836"/>
                    <pic:cNvPicPr preferRelativeResize="0">
                      <a:picLocks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a:xfrm>
                      <a:off x="0" y="0"/>
                      <a:ext cx="2019935" cy="476885"/>
                    </a:xfrm>
                    <a:prstGeom prst="rect">
                      <a:avLst/>
                    </a:prstGeom>
                    <a:noFill/>
                    <a:ln>
                      <a:noFill/>
                    </a:ln>
                  </pic:spPr>
                </pic:pic>
              </a:graphicData>
            </a:graphic>
          </wp:inline>
        </w:drawing>
      </w:r>
    </w:p>
    <w:p w14:paraId="05960788">
      <w:pPr>
        <w:widowControl w:val="0"/>
        <w:autoSpaceDE w:val="0"/>
        <w:autoSpaceDN w:val="0"/>
        <w:spacing w:after="0" w:line="36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position w:val="-14"/>
          <w:sz w:val="28"/>
          <w:szCs w:val="28"/>
          <w:lang w:eastAsia="ru-RU"/>
        </w:rPr>
        <w:drawing>
          <wp:inline distT="0" distB="0" distL="0" distR="0">
            <wp:extent cx="437515" cy="254635"/>
            <wp:effectExtent l="0" t="0" r="635" b="0"/>
            <wp:docPr id="108" name="Рисунок 108" descr="base_23792_85543_837"/>
            <wp:cNvGraphicFramePr/>
            <a:graphic xmlns:a="http://schemas.openxmlformats.org/drawingml/2006/main">
              <a:graphicData uri="http://schemas.openxmlformats.org/drawingml/2006/picture">
                <pic:pic xmlns:pic="http://schemas.openxmlformats.org/drawingml/2006/picture">
                  <pic:nvPicPr>
                    <pic:cNvPr id="108" name="Рисунок 108" descr="base_23792_85543_837"/>
                    <pic:cNvPicPr preferRelativeResize="0">
                      <a:picLocks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a:xfrm>
                      <a:off x="0" y="0"/>
                      <a:ext cx="437515" cy="254635"/>
                    </a:xfrm>
                    <a:prstGeom prst="rect">
                      <a:avLst/>
                    </a:prstGeom>
                    <a:noFill/>
                    <a:ln>
                      <a:noFill/>
                    </a:ln>
                  </pic:spPr>
                </pic:pic>
              </a:graphicData>
            </a:graphic>
          </wp:inline>
        </w:drawing>
      </w:r>
      <w:r>
        <w:rPr>
          <w:rFonts w:ascii="Times New Roman" w:hAnsi="Times New Roman" w:eastAsia="Times New Roman" w:cs="Times New Roman"/>
          <w:sz w:val="28"/>
          <w:szCs w:val="28"/>
          <w:lang w:eastAsia="ru-RU"/>
        </w:rPr>
        <w:t xml:space="preserve"> – количество i-х предметов мебели;</w:t>
      </w:r>
    </w:p>
    <w:p w14:paraId="67AB96A9">
      <w:pPr>
        <w:widowControl w:val="0"/>
        <w:autoSpaceDE w:val="0"/>
        <w:autoSpaceDN w:val="0"/>
        <w:spacing w:after="0" w:line="36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position w:val="-14"/>
          <w:sz w:val="28"/>
          <w:szCs w:val="28"/>
          <w:lang w:eastAsia="ru-RU"/>
        </w:rPr>
        <w:drawing>
          <wp:inline distT="0" distB="0" distL="0" distR="0">
            <wp:extent cx="397510" cy="254635"/>
            <wp:effectExtent l="0" t="0" r="2540" b="0"/>
            <wp:docPr id="107" name="Рисунок 107" descr="base_23792_85543_838"/>
            <wp:cNvGraphicFramePr/>
            <a:graphic xmlns:a="http://schemas.openxmlformats.org/drawingml/2006/main">
              <a:graphicData uri="http://schemas.openxmlformats.org/drawingml/2006/picture">
                <pic:pic xmlns:pic="http://schemas.openxmlformats.org/drawingml/2006/picture">
                  <pic:nvPicPr>
                    <pic:cNvPr id="107" name="Рисунок 107" descr="base_23792_85543_838"/>
                    <pic:cNvPicPr preferRelativeResize="0">
                      <a:picLocks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a:xfrm>
                      <a:off x="0" y="0"/>
                      <a:ext cx="397510" cy="254635"/>
                    </a:xfrm>
                    <a:prstGeom prst="rect">
                      <a:avLst/>
                    </a:prstGeom>
                    <a:noFill/>
                    <a:ln>
                      <a:noFill/>
                    </a:ln>
                  </pic:spPr>
                </pic:pic>
              </a:graphicData>
            </a:graphic>
          </wp:inline>
        </w:drawing>
      </w:r>
      <w:r>
        <w:rPr>
          <w:rFonts w:ascii="Times New Roman" w:hAnsi="Times New Roman" w:eastAsia="Times New Roman" w:cs="Times New Roman"/>
          <w:sz w:val="28"/>
          <w:szCs w:val="28"/>
          <w:lang w:eastAsia="ru-RU"/>
        </w:rPr>
        <w:t xml:space="preserve"> – цена i-го предмета мебели.</w:t>
      </w:r>
    </w:p>
    <w:p w14:paraId="3CBFB4B0">
      <w:pPr>
        <w:widowControl w:val="0"/>
        <w:autoSpaceDE w:val="0"/>
        <w:autoSpaceDN w:val="0"/>
        <w:spacing w:after="0" w:line="36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Расчет затрат производится в соответствии с нормативами согласно таблице №29.</w:t>
      </w:r>
    </w:p>
    <w:p w14:paraId="6216D65E">
      <w:pPr>
        <w:rPr>
          <w:rFonts w:ascii="Times New Roman" w:hAnsi="Times New Roman" w:cs="Times New Roman"/>
          <w:sz w:val="28"/>
          <w:szCs w:val="28"/>
        </w:rPr>
      </w:pPr>
      <w:r>
        <w:rPr>
          <w:rFonts w:ascii="Times New Roman" w:hAnsi="Times New Roman" w:cs="Times New Roman"/>
          <w:sz w:val="28"/>
          <w:szCs w:val="28"/>
        </w:rPr>
        <w:br w:type="page"/>
      </w:r>
    </w:p>
    <w:p w14:paraId="2183A81E">
      <w:pPr>
        <w:jc w:val="right"/>
        <w:rPr>
          <w:rFonts w:ascii="Times New Roman" w:hAnsi="Times New Roman" w:cs="Times New Roman"/>
          <w:sz w:val="28"/>
          <w:szCs w:val="28"/>
        </w:rPr>
      </w:pPr>
      <w:r>
        <w:rPr>
          <w:rFonts w:ascii="Times New Roman" w:hAnsi="Times New Roman" w:cs="Times New Roman"/>
          <w:sz w:val="28"/>
          <w:szCs w:val="28"/>
        </w:rPr>
        <w:t>Таблица №29</w:t>
      </w:r>
    </w:p>
    <w:p w14:paraId="52D55B1E">
      <w:pPr>
        <w:autoSpaceDE w:val="0"/>
        <w:autoSpaceDN w:val="0"/>
        <w:adjustRightInd w:val="0"/>
        <w:spacing w:after="0" w:line="240" w:lineRule="auto"/>
        <w:ind w:firstLine="709"/>
        <w:jc w:val="center"/>
        <w:rPr>
          <w:rFonts w:ascii="Times New Roman" w:hAnsi="Times New Roman" w:cs="Times New Roman" w:eastAsiaTheme="minorEastAsia"/>
          <w:bCs/>
          <w:sz w:val="28"/>
          <w:szCs w:val="28"/>
          <w:lang w:eastAsia="ru-RU"/>
        </w:rPr>
      </w:pPr>
      <w:r>
        <w:rPr>
          <w:rFonts w:ascii="Times New Roman" w:hAnsi="Times New Roman" w:cs="Times New Roman" w:eastAsiaTheme="minorEastAsia"/>
          <w:bCs/>
          <w:sz w:val="28"/>
          <w:szCs w:val="28"/>
          <w:lang w:eastAsia="ru-RU"/>
        </w:rPr>
        <w:t>Нормативы затрат на приобретение мебели</w:t>
      </w:r>
    </w:p>
    <w:p w14:paraId="5E156E08">
      <w:pPr>
        <w:autoSpaceDE w:val="0"/>
        <w:autoSpaceDN w:val="0"/>
        <w:adjustRightInd w:val="0"/>
        <w:spacing w:after="0" w:line="240" w:lineRule="auto"/>
        <w:ind w:firstLine="709"/>
        <w:jc w:val="center"/>
        <w:rPr>
          <w:rFonts w:ascii="Times New Roman" w:hAnsi="Times New Roman" w:cs="Times New Roman" w:eastAsiaTheme="minorEastAsia"/>
          <w:bCs/>
          <w:sz w:val="28"/>
          <w:szCs w:val="28"/>
          <w:lang w:eastAsia="ru-RU"/>
        </w:rPr>
      </w:pPr>
    </w:p>
    <w:tbl>
      <w:tblPr>
        <w:tblStyle w:val="3"/>
        <w:tblW w:w="963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5"/>
        <w:gridCol w:w="2665"/>
        <w:gridCol w:w="24"/>
        <w:gridCol w:w="2385"/>
      </w:tblGrid>
      <w:tr w14:paraId="47749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4565" w:type="dxa"/>
            <w:vAlign w:val="center"/>
          </w:tcPr>
          <w:p w14:paraId="772B047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мебели</w:t>
            </w:r>
          </w:p>
        </w:tc>
        <w:tc>
          <w:tcPr>
            <w:tcW w:w="2665" w:type="dxa"/>
            <w:vAlign w:val="center"/>
          </w:tcPr>
          <w:p w14:paraId="4857481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(штук)</w:t>
            </w:r>
          </w:p>
        </w:tc>
        <w:tc>
          <w:tcPr>
            <w:tcW w:w="2409" w:type="dxa"/>
            <w:gridSpan w:val="2"/>
            <w:vAlign w:val="center"/>
          </w:tcPr>
          <w:p w14:paraId="57753B6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14:paraId="639F2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4565" w:type="dxa"/>
            <w:vAlign w:val="center"/>
          </w:tcPr>
          <w:p w14:paraId="5EA6290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665" w:type="dxa"/>
            <w:vAlign w:val="center"/>
          </w:tcPr>
          <w:p w14:paraId="278016E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2409" w:type="dxa"/>
            <w:gridSpan w:val="2"/>
            <w:vAlign w:val="center"/>
          </w:tcPr>
          <w:p w14:paraId="77FA97D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r>
      <w:tr w14:paraId="20041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9639" w:type="dxa"/>
            <w:gridSpan w:val="4"/>
            <w:vAlign w:val="center"/>
          </w:tcPr>
          <w:p w14:paraId="6B3D0C0C">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14:paraId="49218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4565" w:type="dxa"/>
            <w:vAlign w:val="center"/>
          </w:tcPr>
          <w:p w14:paraId="59449D44">
            <w:pPr>
              <w:spacing w:after="0" w:line="240" w:lineRule="auto"/>
              <w:rPr>
                <w:rFonts w:ascii="Times New Roman" w:hAnsi="Times New Roman" w:cs="Times New Roman"/>
                <w:sz w:val="28"/>
                <w:szCs w:val="28"/>
              </w:rPr>
            </w:pPr>
            <w:r>
              <w:rPr>
                <w:rFonts w:ascii="Times New Roman" w:hAnsi="Times New Roman" w:cs="Times New Roman"/>
                <w:sz w:val="28"/>
                <w:szCs w:val="28"/>
              </w:rPr>
              <w:t>Руководитель (заместитель руководителя)</w:t>
            </w:r>
          </w:p>
        </w:tc>
        <w:tc>
          <w:tcPr>
            <w:tcW w:w="2665" w:type="dxa"/>
          </w:tcPr>
          <w:p w14:paraId="38521079">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 1 кабинет</w:t>
            </w:r>
          </w:p>
        </w:tc>
        <w:tc>
          <w:tcPr>
            <w:tcW w:w="2409" w:type="dxa"/>
            <w:gridSpan w:val="2"/>
            <w:vAlign w:val="center"/>
          </w:tcPr>
          <w:p w14:paraId="3F4EB278">
            <w:pPr>
              <w:widowControl w:val="0"/>
              <w:autoSpaceDE w:val="0"/>
              <w:autoSpaceDN w:val="0"/>
              <w:adjustRightInd w:val="0"/>
              <w:spacing w:after="0" w:line="240" w:lineRule="auto"/>
              <w:jc w:val="center"/>
              <w:rPr>
                <w:rFonts w:ascii="Times New Roman" w:hAnsi="Times New Roman" w:cs="Times New Roman"/>
                <w:sz w:val="28"/>
                <w:szCs w:val="28"/>
              </w:rPr>
            </w:pPr>
          </w:p>
        </w:tc>
      </w:tr>
      <w:tr w14:paraId="109C1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4565" w:type="dxa"/>
            <w:vAlign w:val="center"/>
          </w:tcPr>
          <w:p w14:paraId="27645D01">
            <w:pPr>
              <w:spacing w:after="0" w:line="240" w:lineRule="auto"/>
              <w:rPr>
                <w:rFonts w:ascii="Times New Roman" w:hAnsi="Times New Roman" w:cs="Times New Roman"/>
                <w:sz w:val="28"/>
                <w:szCs w:val="28"/>
              </w:rPr>
            </w:pPr>
            <w:r>
              <w:rPr>
                <w:rFonts w:ascii="Times New Roman" w:hAnsi="Times New Roman" w:cs="Times New Roman"/>
                <w:sz w:val="28"/>
                <w:szCs w:val="28"/>
              </w:rPr>
              <w:t>Стол эргономичный</w:t>
            </w:r>
          </w:p>
        </w:tc>
        <w:tc>
          <w:tcPr>
            <w:tcW w:w="2665" w:type="dxa"/>
            <w:vAlign w:val="center"/>
          </w:tcPr>
          <w:p w14:paraId="5050B20C">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42CB6986">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17 500,00</w:t>
            </w:r>
          </w:p>
        </w:tc>
      </w:tr>
      <w:tr w14:paraId="0F28F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4565" w:type="dxa"/>
            <w:vAlign w:val="center"/>
          </w:tcPr>
          <w:p w14:paraId="4FB0FAF6">
            <w:pPr>
              <w:spacing w:after="0" w:line="240" w:lineRule="auto"/>
              <w:rPr>
                <w:rFonts w:ascii="Times New Roman" w:hAnsi="Times New Roman" w:cs="Times New Roman"/>
                <w:sz w:val="28"/>
                <w:szCs w:val="28"/>
              </w:rPr>
            </w:pPr>
            <w:r>
              <w:rPr>
                <w:rFonts w:ascii="Times New Roman" w:hAnsi="Times New Roman" w:cs="Times New Roman"/>
                <w:sz w:val="28"/>
                <w:szCs w:val="28"/>
              </w:rPr>
              <w:t>Стол приставной</w:t>
            </w:r>
          </w:p>
        </w:tc>
        <w:tc>
          <w:tcPr>
            <w:tcW w:w="2665" w:type="dxa"/>
            <w:vAlign w:val="center"/>
          </w:tcPr>
          <w:p w14:paraId="53988921">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1DD1A80F">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4 000,00</w:t>
            </w:r>
          </w:p>
        </w:tc>
      </w:tr>
      <w:tr w14:paraId="4EA7B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4565" w:type="dxa"/>
            <w:vAlign w:val="center"/>
          </w:tcPr>
          <w:p w14:paraId="32BC016F">
            <w:pPr>
              <w:spacing w:after="0" w:line="240" w:lineRule="auto"/>
              <w:rPr>
                <w:rFonts w:ascii="Times New Roman" w:hAnsi="Times New Roman" w:cs="Times New Roman"/>
                <w:sz w:val="28"/>
                <w:szCs w:val="28"/>
              </w:rPr>
            </w:pPr>
            <w:r>
              <w:rPr>
                <w:rFonts w:ascii="Times New Roman" w:hAnsi="Times New Roman" w:cs="Times New Roman"/>
                <w:sz w:val="28"/>
                <w:szCs w:val="28"/>
              </w:rPr>
              <w:t>Стол для заседаний</w:t>
            </w:r>
          </w:p>
        </w:tc>
        <w:tc>
          <w:tcPr>
            <w:tcW w:w="2665" w:type="dxa"/>
            <w:vAlign w:val="center"/>
          </w:tcPr>
          <w:p w14:paraId="718FCE98">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34F5A42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28 750,00</w:t>
            </w:r>
          </w:p>
        </w:tc>
      </w:tr>
      <w:tr w14:paraId="39EC2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4565" w:type="dxa"/>
            <w:vAlign w:val="center"/>
          </w:tcPr>
          <w:p w14:paraId="496DBC4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Стол письменный офисный </w:t>
            </w:r>
          </w:p>
        </w:tc>
        <w:tc>
          <w:tcPr>
            <w:tcW w:w="2665" w:type="dxa"/>
            <w:vAlign w:val="center"/>
          </w:tcPr>
          <w:p w14:paraId="11DD653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757F910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14:paraId="61751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4565" w:type="dxa"/>
            <w:vAlign w:val="center"/>
          </w:tcPr>
          <w:p w14:paraId="69865C30">
            <w:pPr>
              <w:spacing w:after="0" w:line="240" w:lineRule="auto"/>
              <w:rPr>
                <w:rFonts w:ascii="Times New Roman" w:hAnsi="Times New Roman" w:cs="Times New Roman"/>
                <w:sz w:val="28"/>
                <w:szCs w:val="28"/>
              </w:rPr>
            </w:pPr>
            <w:r>
              <w:rPr>
                <w:rFonts w:ascii="Times New Roman" w:hAnsi="Times New Roman" w:cs="Times New Roman"/>
                <w:sz w:val="28"/>
                <w:szCs w:val="28"/>
              </w:rPr>
              <w:t>Стеллаж офисный</w:t>
            </w:r>
          </w:p>
        </w:tc>
        <w:tc>
          <w:tcPr>
            <w:tcW w:w="2665" w:type="dxa"/>
            <w:vAlign w:val="center"/>
          </w:tcPr>
          <w:p w14:paraId="628B8EB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2409" w:type="dxa"/>
            <w:gridSpan w:val="2"/>
            <w:vAlign w:val="center"/>
          </w:tcPr>
          <w:p w14:paraId="1EEF67FD">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15 000,00</w:t>
            </w:r>
          </w:p>
        </w:tc>
      </w:tr>
      <w:tr w14:paraId="2A565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4565" w:type="dxa"/>
            <w:vAlign w:val="center"/>
          </w:tcPr>
          <w:p w14:paraId="143DFCB4">
            <w:pPr>
              <w:spacing w:after="0" w:line="240" w:lineRule="auto"/>
              <w:rPr>
                <w:rFonts w:ascii="Times New Roman" w:hAnsi="Times New Roman" w:cs="Times New Roman"/>
                <w:sz w:val="28"/>
                <w:szCs w:val="28"/>
              </w:rPr>
            </w:pPr>
            <w:r>
              <w:rPr>
                <w:rFonts w:ascii="Times New Roman" w:hAnsi="Times New Roman" w:cs="Times New Roman"/>
                <w:sz w:val="28"/>
                <w:szCs w:val="28"/>
              </w:rPr>
              <w:t>Тумба для оргтехники</w:t>
            </w:r>
          </w:p>
        </w:tc>
        <w:tc>
          <w:tcPr>
            <w:tcW w:w="2665" w:type="dxa"/>
            <w:vAlign w:val="center"/>
          </w:tcPr>
          <w:p w14:paraId="29144AD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0A884F49">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9 200,00</w:t>
            </w:r>
          </w:p>
        </w:tc>
      </w:tr>
      <w:tr w14:paraId="73CB1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4565" w:type="dxa"/>
            <w:vAlign w:val="center"/>
          </w:tcPr>
          <w:p w14:paraId="4E84F89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Тумба офисная подкатная </w:t>
            </w:r>
          </w:p>
        </w:tc>
        <w:tc>
          <w:tcPr>
            <w:tcW w:w="2665" w:type="dxa"/>
            <w:vAlign w:val="center"/>
          </w:tcPr>
          <w:p w14:paraId="5E41F67F">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239A5C13">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15 000,00</w:t>
            </w:r>
          </w:p>
        </w:tc>
      </w:tr>
      <w:tr w14:paraId="1DDCC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4565" w:type="dxa"/>
            <w:vAlign w:val="center"/>
          </w:tcPr>
          <w:p w14:paraId="51D77729">
            <w:pPr>
              <w:spacing w:after="0" w:line="240" w:lineRule="auto"/>
              <w:rPr>
                <w:rFonts w:ascii="Times New Roman" w:hAnsi="Times New Roman" w:cs="Times New Roman"/>
                <w:sz w:val="28"/>
                <w:szCs w:val="28"/>
              </w:rPr>
            </w:pPr>
            <w:r>
              <w:rPr>
                <w:rFonts w:ascii="Times New Roman" w:hAnsi="Times New Roman" w:cs="Times New Roman"/>
                <w:sz w:val="28"/>
                <w:szCs w:val="28"/>
              </w:rPr>
              <w:t>Шкаф-гардероб</w:t>
            </w:r>
          </w:p>
        </w:tc>
        <w:tc>
          <w:tcPr>
            <w:tcW w:w="2665" w:type="dxa"/>
            <w:vAlign w:val="center"/>
          </w:tcPr>
          <w:p w14:paraId="52034785">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62DB9B2C">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40 000,00</w:t>
            </w:r>
          </w:p>
        </w:tc>
      </w:tr>
      <w:tr w14:paraId="12A28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4565" w:type="dxa"/>
            <w:vAlign w:val="center"/>
          </w:tcPr>
          <w:p w14:paraId="3A25E195">
            <w:pPr>
              <w:spacing w:after="0" w:line="240" w:lineRule="auto"/>
              <w:rPr>
                <w:rFonts w:ascii="Times New Roman" w:hAnsi="Times New Roman" w:cs="Times New Roman"/>
                <w:sz w:val="28"/>
                <w:szCs w:val="28"/>
              </w:rPr>
            </w:pPr>
            <w:r>
              <w:rPr>
                <w:rFonts w:ascii="Times New Roman" w:hAnsi="Times New Roman" w:cs="Times New Roman"/>
                <w:sz w:val="28"/>
                <w:szCs w:val="28"/>
              </w:rPr>
              <w:t>Шкаф офисный (со стеклянными дверями) для документов</w:t>
            </w:r>
          </w:p>
        </w:tc>
        <w:tc>
          <w:tcPr>
            <w:tcW w:w="2665" w:type="dxa"/>
            <w:vAlign w:val="center"/>
          </w:tcPr>
          <w:p w14:paraId="5A4BE113">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2C068ED7">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40 000,00</w:t>
            </w:r>
          </w:p>
        </w:tc>
      </w:tr>
      <w:tr w14:paraId="684B7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4565" w:type="dxa"/>
            <w:vAlign w:val="center"/>
          </w:tcPr>
          <w:p w14:paraId="004937AF">
            <w:pPr>
              <w:spacing w:after="0" w:line="240" w:lineRule="auto"/>
              <w:rPr>
                <w:rFonts w:ascii="Times New Roman" w:hAnsi="Times New Roman" w:cs="Times New Roman"/>
                <w:sz w:val="28"/>
                <w:szCs w:val="28"/>
              </w:rPr>
            </w:pPr>
            <w:r>
              <w:rPr>
                <w:rFonts w:ascii="Times New Roman" w:hAnsi="Times New Roman" w:cs="Times New Roman"/>
                <w:sz w:val="28"/>
                <w:szCs w:val="28"/>
              </w:rPr>
              <w:t>Шкаф офисный (с глухими дверями) для документов</w:t>
            </w:r>
          </w:p>
        </w:tc>
        <w:tc>
          <w:tcPr>
            <w:tcW w:w="2665" w:type="dxa"/>
            <w:vAlign w:val="center"/>
          </w:tcPr>
          <w:p w14:paraId="13E9DE76">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0E081CF4">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40 000,00</w:t>
            </w:r>
          </w:p>
        </w:tc>
      </w:tr>
      <w:tr w14:paraId="5D211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4565" w:type="dxa"/>
            <w:vAlign w:val="center"/>
          </w:tcPr>
          <w:p w14:paraId="31BF011A">
            <w:pPr>
              <w:spacing w:after="0" w:line="240" w:lineRule="auto"/>
              <w:rPr>
                <w:rFonts w:ascii="Times New Roman" w:hAnsi="Times New Roman" w:cs="Times New Roman"/>
                <w:sz w:val="28"/>
                <w:szCs w:val="28"/>
              </w:rPr>
            </w:pPr>
            <w:r>
              <w:rPr>
                <w:rFonts w:ascii="Times New Roman" w:hAnsi="Times New Roman" w:cs="Times New Roman"/>
                <w:sz w:val="28"/>
                <w:szCs w:val="28"/>
              </w:rPr>
              <w:t>Металлический архивный шкаф</w:t>
            </w:r>
          </w:p>
        </w:tc>
        <w:tc>
          <w:tcPr>
            <w:tcW w:w="2665" w:type="dxa"/>
            <w:vAlign w:val="center"/>
          </w:tcPr>
          <w:p w14:paraId="079A1DA3">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3E6FABDD">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14:paraId="4CA52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4565" w:type="dxa"/>
            <w:vAlign w:val="center"/>
          </w:tcPr>
          <w:p w14:paraId="4628FBA3">
            <w:pPr>
              <w:spacing w:after="0" w:line="240" w:lineRule="auto"/>
              <w:rPr>
                <w:rFonts w:ascii="Times New Roman" w:hAnsi="Times New Roman" w:cs="Times New Roman"/>
                <w:sz w:val="28"/>
                <w:szCs w:val="28"/>
              </w:rPr>
            </w:pPr>
            <w:r>
              <w:rPr>
                <w:rFonts w:ascii="Times New Roman" w:hAnsi="Times New Roman" w:cs="Times New Roman"/>
                <w:sz w:val="28"/>
                <w:szCs w:val="28"/>
              </w:rPr>
              <w:t>Шкаф для мобильных телефонов (металлический)</w:t>
            </w:r>
          </w:p>
        </w:tc>
        <w:tc>
          <w:tcPr>
            <w:tcW w:w="2665" w:type="dxa"/>
            <w:vAlign w:val="center"/>
          </w:tcPr>
          <w:p w14:paraId="2D4A73CF">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60066795">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w:t>
            </w:r>
          </w:p>
          <w:p w14:paraId="1C498CA4">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5 000,00</w:t>
            </w:r>
          </w:p>
        </w:tc>
      </w:tr>
      <w:tr w14:paraId="263D9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4565" w:type="dxa"/>
            <w:vAlign w:val="center"/>
          </w:tcPr>
          <w:p w14:paraId="59D174AD">
            <w:pPr>
              <w:spacing w:after="0" w:line="240" w:lineRule="auto"/>
              <w:rPr>
                <w:rFonts w:ascii="Times New Roman" w:hAnsi="Times New Roman" w:cs="Times New Roman"/>
                <w:sz w:val="28"/>
                <w:szCs w:val="28"/>
              </w:rPr>
            </w:pPr>
            <w:r>
              <w:rPr>
                <w:rFonts w:ascii="Times New Roman" w:hAnsi="Times New Roman" w:cs="Times New Roman"/>
                <w:sz w:val="28"/>
                <w:szCs w:val="28"/>
              </w:rPr>
              <w:t>Стол журнальный</w:t>
            </w:r>
          </w:p>
        </w:tc>
        <w:tc>
          <w:tcPr>
            <w:tcW w:w="2665" w:type="dxa"/>
            <w:vAlign w:val="center"/>
          </w:tcPr>
          <w:p w14:paraId="5375E9F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6D9C74E6">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20 000,00</w:t>
            </w:r>
          </w:p>
        </w:tc>
      </w:tr>
      <w:tr w14:paraId="02F2C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4565" w:type="dxa"/>
            <w:vAlign w:val="center"/>
          </w:tcPr>
          <w:p w14:paraId="24E92F16">
            <w:pPr>
              <w:spacing w:after="0" w:line="240" w:lineRule="auto"/>
              <w:rPr>
                <w:rFonts w:ascii="Times New Roman" w:hAnsi="Times New Roman" w:cs="Times New Roman"/>
                <w:sz w:val="28"/>
                <w:szCs w:val="28"/>
              </w:rPr>
            </w:pPr>
            <w:r>
              <w:rPr>
                <w:rFonts w:ascii="Times New Roman" w:hAnsi="Times New Roman" w:cs="Times New Roman"/>
                <w:sz w:val="28"/>
                <w:szCs w:val="28"/>
              </w:rPr>
              <w:t>Кресло для руководителя</w:t>
            </w:r>
          </w:p>
        </w:tc>
        <w:tc>
          <w:tcPr>
            <w:tcW w:w="2665" w:type="dxa"/>
            <w:vAlign w:val="center"/>
          </w:tcPr>
          <w:p w14:paraId="20C02E91">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07C746C6">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14:paraId="4CD48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4565" w:type="dxa"/>
            <w:vAlign w:val="center"/>
          </w:tcPr>
          <w:p w14:paraId="331C1307">
            <w:pPr>
              <w:spacing w:after="0" w:line="240" w:lineRule="auto"/>
              <w:rPr>
                <w:rFonts w:ascii="Times New Roman" w:hAnsi="Times New Roman" w:cs="Times New Roman"/>
                <w:sz w:val="28"/>
                <w:szCs w:val="28"/>
              </w:rPr>
            </w:pPr>
            <w:r>
              <w:rPr>
                <w:rFonts w:ascii="Times New Roman" w:hAnsi="Times New Roman" w:cs="Times New Roman"/>
                <w:sz w:val="28"/>
                <w:szCs w:val="28"/>
              </w:rPr>
              <w:t>Кресло офисное</w:t>
            </w:r>
          </w:p>
        </w:tc>
        <w:tc>
          <w:tcPr>
            <w:tcW w:w="2665" w:type="dxa"/>
            <w:vAlign w:val="center"/>
          </w:tcPr>
          <w:p w14:paraId="5712C30B">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2409" w:type="dxa"/>
            <w:gridSpan w:val="2"/>
            <w:vAlign w:val="center"/>
          </w:tcPr>
          <w:p w14:paraId="05D16321">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r w14:paraId="74C64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4565" w:type="dxa"/>
            <w:vAlign w:val="center"/>
          </w:tcPr>
          <w:p w14:paraId="360CD3FB">
            <w:pPr>
              <w:spacing w:after="0" w:line="240" w:lineRule="auto"/>
              <w:rPr>
                <w:rFonts w:ascii="Times New Roman" w:hAnsi="Times New Roman" w:cs="Times New Roman"/>
                <w:sz w:val="28"/>
                <w:szCs w:val="28"/>
              </w:rPr>
            </w:pPr>
            <w:r>
              <w:rPr>
                <w:rFonts w:ascii="Times New Roman" w:hAnsi="Times New Roman" w:cs="Times New Roman"/>
                <w:sz w:val="28"/>
                <w:szCs w:val="28"/>
              </w:rPr>
              <w:t>Стул мягкий</w:t>
            </w:r>
          </w:p>
        </w:tc>
        <w:tc>
          <w:tcPr>
            <w:tcW w:w="2665" w:type="dxa"/>
            <w:vAlign w:val="center"/>
          </w:tcPr>
          <w:p w14:paraId="252D260B">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2409" w:type="dxa"/>
            <w:gridSpan w:val="2"/>
            <w:vAlign w:val="center"/>
          </w:tcPr>
          <w:p w14:paraId="7C3F21CF">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p>
          <w:p w14:paraId="50194704">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12 000,00</w:t>
            </w:r>
          </w:p>
        </w:tc>
      </w:tr>
      <w:tr w14:paraId="6FC9B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4565" w:type="dxa"/>
            <w:vAlign w:val="center"/>
          </w:tcPr>
          <w:p w14:paraId="5DDD1880">
            <w:pPr>
              <w:spacing w:after="0" w:line="240" w:lineRule="auto"/>
              <w:rPr>
                <w:rFonts w:ascii="Times New Roman" w:hAnsi="Times New Roman" w:cs="Times New Roman"/>
                <w:sz w:val="28"/>
                <w:szCs w:val="28"/>
              </w:rPr>
            </w:pPr>
            <w:r>
              <w:rPr>
                <w:rFonts w:ascii="Times New Roman" w:hAnsi="Times New Roman" w:cs="Times New Roman"/>
                <w:sz w:val="28"/>
                <w:szCs w:val="28"/>
              </w:rPr>
              <w:t>Стул офисный</w:t>
            </w:r>
          </w:p>
        </w:tc>
        <w:tc>
          <w:tcPr>
            <w:tcW w:w="2665" w:type="dxa"/>
            <w:vAlign w:val="center"/>
          </w:tcPr>
          <w:p w14:paraId="0601DEC4">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2409" w:type="dxa"/>
            <w:gridSpan w:val="2"/>
            <w:vAlign w:val="center"/>
          </w:tcPr>
          <w:p w14:paraId="326632D7">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менее </w:t>
            </w:r>
          </w:p>
          <w:p w14:paraId="10CBA6C6">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12 000,00</w:t>
            </w:r>
          </w:p>
        </w:tc>
      </w:tr>
      <w:tr w14:paraId="779C1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4565" w:type="dxa"/>
            <w:vAlign w:val="center"/>
          </w:tcPr>
          <w:p w14:paraId="75CC03D8">
            <w:pPr>
              <w:keepNext/>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Сейф</w:t>
            </w:r>
          </w:p>
        </w:tc>
        <w:tc>
          <w:tcPr>
            <w:tcW w:w="2665" w:type="dxa"/>
            <w:vAlign w:val="center"/>
          </w:tcPr>
          <w:p w14:paraId="2EBC6E7B">
            <w:pPr>
              <w:keepNext/>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0DE725A6">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14:paraId="014F4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4565" w:type="dxa"/>
            <w:vAlign w:val="center"/>
          </w:tcPr>
          <w:p w14:paraId="6EDD60C1">
            <w:pPr>
              <w:spacing w:after="0" w:line="240" w:lineRule="auto"/>
              <w:rPr>
                <w:rFonts w:ascii="Times New Roman" w:hAnsi="Times New Roman" w:cs="Times New Roman"/>
                <w:sz w:val="28"/>
                <w:szCs w:val="28"/>
              </w:rPr>
            </w:pPr>
            <w:r>
              <w:rPr>
                <w:rFonts w:ascii="Times New Roman" w:hAnsi="Times New Roman" w:cs="Times New Roman"/>
                <w:sz w:val="28"/>
                <w:szCs w:val="28"/>
              </w:rPr>
              <w:t>Антресоль</w:t>
            </w:r>
          </w:p>
        </w:tc>
        <w:tc>
          <w:tcPr>
            <w:tcW w:w="2665" w:type="dxa"/>
            <w:vAlign w:val="center"/>
          </w:tcPr>
          <w:p w14:paraId="3DD5BF0E">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2409" w:type="dxa"/>
            <w:gridSpan w:val="2"/>
            <w:vAlign w:val="center"/>
          </w:tcPr>
          <w:p w14:paraId="05B27A87">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не более 5 000,00</w:t>
            </w:r>
          </w:p>
          <w:p w14:paraId="4C0F4823">
            <w:pPr>
              <w:widowControl w:val="0"/>
              <w:autoSpaceDE w:val="0"/>
              <w:autoSpaceDN w:val="0"/>
              <w:adjustRightInd w:val="0"/>
              <w:spacing w:after="0" w:line="240" w:lineRule="auto"/>
              <w:rPr>
                <w:rFonts w:ascii="Times New Roman" w:hAnsi="Times New Roman" w:cs="Times New Roman"/>
                <w:sz w:val="28"/>
                <w:szCs w:val="28"/>
              </w:rPr>
            </w:pPr>
          </w:p>
        </w:tc>
      </w:tr>
      <w:tr w14:paraId="0E337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9639" w:type="dxa"/>
            <w:gridSpan w:val="4"/>
            <w:vAlign w:val="center"/>
          </w:tcPr>
          <w:p w14:paraId="4F8DCE6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учреждение</w:t>
            </w:r>
          </w:p>
        </w:tc>
      </w:tr>
      <w:tr w14:paraId="50D58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4565" w:type="dxa"/>
            <w:vAlign w:val="center"/>
          </w:tcPr>
          <w:p w14:paraId="676D9ADB">
            <w:pPr>
              <w:spacing w:after="0" w:line="240" w:lineRule="auto"/>
              <w:rPr>
                <w:rFonts w:ascii="Times New Roman" w:hAnsi="Times New Roman" w:cs="Times New Roman"/>
                <w:sz w:val="28"/>
                <w:szCs w:val="28"/>
              </w:rPr>
            </w:pPr>
            <w:r>
              <w:rPr>
                <w:rFonts w:ascii="Times New Roman" w:hAnsi="Times New Roman" w:cs="Times New Roman"/>
                <w:sz w:val="28"/>
                <w:szCs w:val="28"/>
              </w:rPr>
              <w:t>Стол эргономичный</w:t>
            </w:r>
          </w:p>
        </w:tc>
        <w:tc>
          <w:tcPr>
            <w:tcW w:w="2689" w:type="dxa"/>
            <w:gridSpan w:val="2"/>
            <w:vAlign w:val="center"/>
          </w:tcPr>
          <w:p w14:paraId="72DA9F0B">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385" w:type="dxa"/>
            <w:vAlign w:val="center"/>
          </w:tcPr>
          <w:p w14:paraId="481460E2">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10 000,00</w:t>
            </w:r>
          </w:p>
        </w:tc>
      </w:tr>
      <w:tr w14:paraId="44DC2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4565" w:type="dxa"/>
            <w:vAlign w:val="center"/>
          </w:tcPr>
          <w:p w14:paraId="7FB48CB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Стол письменный офисный </w:t>
            </w:r>
          </w:p>
        </w:tc>
        <w:tc>
          <w:tcPr>
            <w:tcW w:w="2689" w:type="dxa"/>
            <w:gridSpan w:val="2"/>
            <w:vAlign w:val="center"/>
          </w:tcPr>
          <w:p w14:paraId="4C8661D4">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2385" w:type="dxa"/>
            <w:vAlign w:val="center"/>
          </w:tcPr>
          <w:p w14:paraId="5A63E1D9">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38 000,00</w:t>
            </w:r>
          </w:p>
        </w:tc>
      </w:tr>
      <w:tr w14:paraId="24D5C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4565" w:type="dxa"/>
            <w:vAlign w:val="center"/>
          </w:tcPr>
          <w:p w14:paraId="2B0AE30E">
            <w:pPr>
              <w:spacing w:after="0" w:line="240" w:lineRule="auto"/>
              <w:rPr>
                <w:rFonts w:ascii="Times New Roman" w:hAnsi="Times New Roman" w:cs="Times New Roman"/>
                <w:sz w:val="28"/>
                <w:szCs w:val="28"/>
              </w:rPr>
            </w:pPr>
            <w:r>
              <w:rPr>
                <w:rFonts w:ascii="Times New Roman" w:hAnsi="Times New Roman" w:cs="Times New Roman"/>
                <w:sz w:val="28"/>
                <w:szCs w:val="28"/>
              </w:rPr>
              <w:t>Тумба приставная</w:t>
            </w:r>
          </w:p>
        </w:tc>
        <w:tc>
          <w:tcPr>
            <w:tcW w:w="2689" w:type="dxa"/>
            <w:gridSpan w:val="2"/>
            <w:vAlign w:val="center"/>
          </w:tcPr>
          <w:p w14:paraId="5BB55B16">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2385" w:type="dxa"/>
            <w:vAlign w:val="center"/>
          </w:tcPr>
          <w:p w14:paraId="6B699147">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w:t>
            </w:r>
          </w:p>
          <w:p w14:paraId="5774546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6 000,00</w:t>
            </w:r>
          </w:p>
        </w:tc>
      </w:tr>
      <w:tr w14:paraId="38AF5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4565" w:type="dxa"/>
            <w:vAlign w:val="center"/>
          </w:tcPr>
          <w:p w14:paraId="38CA6D1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Шкаф-гардероб </w:t>
            </w:r>
          </w:p>
        </w:tc>
        <w:tc>
          <w:tcPr>
            <w:tcW w:w="2689" w:type="dxa"/>
            <w:gridSpan w:val="2"/>
            <w:vAlign w:val="center"/>
          </w:tcPr>
          <w:p w14:paraId="48C7912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 на кабинет</w:t>
            </w:r>
          </w:p>
        </w:tc>
        <w:tc>
          <w:tcPr>
            <w:tcW w:w="2385" w:type="dxa"/>
            <w:vAlign w:val="center"/>
          </w:tcPr>
          <w:p w14:paraId="2B1751F1">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10 000,00</w:t>
            </w:r>
          </w:p>
        </w:tc>
      </w:tr>
      <w:tr w14:paraId="2B98D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4565" w:type="dxa"/>
            <w:vAlign w:val="center"/>
          </w:tcPr>
          <w:p w14:paraId="38E24213">
            <w:pPr>
              <w:spacing w:after="0" w:line="240" w:lineRule="auto"/>
              <w:rPr>
                <w:rFonts w:ascii="Times New Roman" w:hAnsi="Times New Roman" w:cs="Times New Roman"/>
                <w:sz w:val="28"/>
                <w:szCs w:val="28"/>
              </w:rPr>
            </w:pPr>
            <w:r>
              <w:rPr>
                <w:rFonts w:ascii="Times New Roman" w:hAnsi="Times New Roman" w:cs="Times New Roman"/>
                <w:sz w:val="28"/>
                <w:szCs w:val="28"/>
              </w:rPr>
              <w:t>Шкаф офисный (со стеклянными дверями)</w:t>
            </w:r>
          </w:p>
        </w:tc>
        <w:tc>
          <w:tcPr>
            <w:tcW w:w="2689" w:type="dxa"/>
            <w:gridSpan w:val="2"/>
            <w:vAlign w:val="center"/>
          </w:tcPr>
          <w:p w14:paraId="5B0D9E81">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 на кабинет</w:t>
            </w:r>
          </w:p>
        </w:tc>
        <w:tc>
          <w:tcPr>
            <w:tcW w:w="2385" w:type="dxa"/>
            <w:vAlign w:val="center"/>
          </w:tcPr>
          <w:p w14:paraId="7FD755EC">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w:t>
            </w:r>
          </w:p>
          <w:p w14:paraId="34869F45">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50 000,00</w:t>
            </w:r>
          </w:p>
        </w:tc>
      </w:tr>
      <w:tr w14:paraId="79D2A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4565" w:type="dxa"/>
            <w:vAlign w:val="center"/>
          </w:tcPr>
          <w:p w14:paraId="225C84CA">
            <w:pPr>
              <w:spacing w:after="0" w:line="240" w:lineRule="auto"/>
              <w:rPr>
                <w:rFonts w:ascii="Times New Roman" w:hAnsi="Times New Roman" w:cs="Times New Roman"/>
                <w:sz w:val="28"/>
                <w:szCs w:val="28"/>
              </w:rPr>
            </w:pPr>
            <w:r>
              <w:rPr>
                <w:rFonts w:ascii="Times New Roman" w:hAnsi="Times New Roman" w:cs="Times New Roman"/>
                <w:sz w:val="28"/>
                <w:szCs w:val="28"/>
              </w:rPr>
              <w:t>Шкаф офисный (с глухими дверями)</w:t>
            </w:r>
          </w:p>
        </w:tc>
        <w:tc>
          <w:tcPr>
            <w:tcW w:w="2689" w:type="dxa"/>
            <w:gridSpan w:val="2"/>
            <w:vAlign w:val="center"/>
          </w:tcPr>
          <w:p w14:paraId="525EEFB4">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 на кабинет</w:t>
            </w:r>
          </w:p>
        </w:tc>
        <w:tc>
          <w:tcPr>
            <w:tcW w:w="2385" w:type="dxa"/>
            <w:vAlign w:val="center"/>
          </w:tcPr>
          <w:p w14:paraId="1F1EC0AF">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14:paraId="57784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4565" w:type="dxa"/>
            <w:vAlign w:val="center"/>
          </w:tcPr>
          <w:p w14:paraId="21BBA39B">
            <w:pPr>
              <w:spacing w:after="0" w:line="240" w:lineRule="auto"/>
              <w:rPr>
                <w:rFonts w:ascii="Times New Roman" w:hAnsi="Times New Roman" w:cs="Times New Roman"/>
                <w:sz w:val="28"/>
                <w:szCs w:val="28"/>
              </w:rPr>
            </w:pPr>
            <w:r>
              <w:rPr>
                <w:rFonts w:ascii="Times New Roman" w:hAnsi="Times New Roman" w:cs="Times New Roman"/>
                <w:sz w:val="28"/>
                <w:szCs w:val="28"/>
              </w:rPr>
              <w:t>Антресоль</w:t>
            </w:r>
          </w:p>
        </w:tc>
        <w:tc>
          <w:tcPr>
            <w:tcW w:w="2689" w:type="dxa"/>
            <w:gridSpan w:val="2"/>
            <w:vAlign w:val="center"/>
          </w:tcPr>
          <w:p w14:paraId="36802A7B">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на кабинет</w:t>
            </w:r>
          </w:p>
        </w:tc>
        <w:tc>
          <w:tcPr>
            <w:tcW w:w="2385" w:type="dxa"/>
            <w:vAlign w:val="center"/>
          </w:tcPr>
          <w:p w14:paraId="68DFDB69">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p>
          <w:p w14:paraId="6DEA7ADC">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5 000,00</w:t>
            </w:r>
          </w:p>
        </w:tc>
      </w:tr>
      <w:tr w14:paraId="721C4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4565" w:type="dxa"/>
            <w:vAlign w:val="center"/>
          </w:tcPr>
          <w:p w14:paraId="3BBDCB03">
            <w:pPr>
              <w:spacing w:after="0" w:line="240" w:lineRule="auto"/>
              <w:rPr>
                <w:rFonts w:ascii="Times New Roman" w:hAnsi="Times New Roman" w:cs="Times New Roman"/>
                <w:sz w:val="28"/>
                <w:szCs w:val="28"/>
              </w:rPr>
            </w:pPr>
            <w:r>
              <w:rPr>
                <w:rFonts w:ascii="Times New Roman" w:hAnsi="Times New Roman" w:cs="Times New Roman"/>
                <w:sz w:val="28"/>
                <w:szCs w:val="28"/>
              </w:rPr>
              <w:t>Тумба офисная для оргтехники</w:t>
            </w:r>
          </w:p>
        </w:tc>
        <w:tc>
          <w:tcPr>
            <w:tcW w:w="2689" w:type="dxa"/>
            <w:gridSpan w:val="2"/>
            <w:vAlign w:val="center"/>
          </w:tcPr>
          <w:p w14:paraId="7B2205B5">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кабинет</w:t>
            </w:r>
          </w:p>
        </w:tc>
        <w:tc>
          <w:tcPr>
            <w:tcW w:w="2385" w:type="dxa"/>
            <w:vAlign w:val="center"/>
          </w:tcPr>
          <w:p w14:paraId="39744C0C">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p>
          <w:p w14:paraId="6341E5DD">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15 000,00</w:t>
            </w:r>
          </w:p>
        </w:tc>
      </w:tr>
      <w:tr w14:paraId="31F0F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4565" w:type="dxa"/>
            <w:vAlign w:val="center"/>
          </w:tcPr>
          <w:p w14:paraId="4298464A">
            <w:pPr>
              <w:spacing w:after="0" w:line="240" w:lineRule="auto"/>
              <w:rPr>
                <w:rFonts w:ascii="Times New Roman" w:hAnsi="Times New Roman" w:cs="Times New Roman"/>
                <w:sz w:val="28"/>
                <w:szCs w:val="28"/>
              </w:rPr>
            </w:pPr>
            <w:r>
              <w:rPr>
                <w:rFonts w:ascii="Times New Roman" w:hAnsi="Times New Roman" w:cs="Times New Roman"/>
                <w:sz w:val="28"/>
                <w:szCs w:val="28"/>
              </w:rPr>
              <w:t>Кресло офисное</w:t>
            </w:r>
          </w:p>
        </w:tc>
        <w:tc>
          <w:tcPr>
            <w:tcW w:w="2689" w:type="dxa"/>
            <w:gridSpan w:val="2"/>
            <w:vAlign w:val="center"/>
          </w:tcPr>
          <w:p w14:paraId="66CD646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 на учреждение</w:t>
            </w:r>
          </w:p>
        </w:tc>
        <w:tc>
          <w:tcPr>
            <w:tcW w:w="2385" w:type="dxa"/>
            <w:vAlign w:val="center"/>
          </w:tcPr>
          <w:p w14:paraId="7092270C">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r w14:paraId="426A0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4565" w:type="dxa"/>
            <w:vAlign w:val="center"/>
          </w:tcPr>
          <w:p w14:paraId="03536CB4">
            <w:pPr>
              <w:spacing w:after="0" w:line="240" w:lineRule="auto"/>
              <w:rPr>
                <w:rFonts w:ascii="Times New Roman" w:hAnsi="Times New Roman" w:cs="Times New Roman"/>
                <w:sz w:val="28"/>
                <w:szCs w:val="28"/>
              </w:rPr>
            </w:pPr>
            <w:r>
              <w:rPr>
                <w:rFonts w:ascii="Times New Roman" w:hAnsi="Times New Roman" w:cs="Times New Roman"/>
                <w:sz w:val="28"/>
                <w:szCs w:val="28"/>
              </w:rPr>
              <w:t>Стул офисный</w:t>
            </w:r>
          </w:p>
        </w:tc>
        <w:tc>
          <w:tcPr>
            <w:tcW w:w="2689" w:type="dxa"/>
            <w:gridSpan w:val="2"/>
            <w:vAlign w:val="center"/>
          </w:tcPr>
          <w:p w14:paraId="327DE2A6">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 на учреждение</w:t>
            </w:r>
          </w:p>
        </w:tc>
        <w:tc>
          <w:tcPr>
            <w:tcW w:w="2385" w:type="dxa"/>
            <w:vAlign w:val="center"/>
          </w:tcPr>
          <w:p w14:paraId="497EE44D">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p>
          <w:p w14:paraId="226CC90F">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12 000,00</w:t>
            </w:r>
          </w:p>
        </w:tc>
      </w:tr>
      <w:tr w14:paraId="1E8D3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4565" w:type="dxa"/>
            <w:vAlign w:val="center"/>
          </w:tcPr>
          <w:p w14:paraId="577A6DBC">
            <w:pPr>
              <w:spacing w:after="0" w:line="240" w:lineRule="auto"/>
              <w:rPr>
                <w:rFonts w:ascii="Times New Roman" w:hAnsi="Times New Roman" w:cs="Times New Roman"/>
                <w:sz w:val="28"/>
                <w:szCs w:val="28"/>
                <w:highlight w:val="yellow"/>
              </w:rPr>
            </w:pPr>
            <w:r>
              <w:rPr>
                <w:rFonts w:ascii="Times New Roman" w:hAnsi="Times New Roman" w:cs="Times New Roman"/>
                <w:sz w:val="28"/>
                <w:szCs w:val="28"/>
              </w:rPr>
              <w:t xml:space="preserve">Стул мягкий </w:t>
            </w:r>
          </w:p>
        </w:tc>
        <w:tc>
          <w:tcPr>
            <w:tcW w:w="2689" w:type="dxa"/>
            <w:gridSpan w:val="2"/>
            <w:vAlign w:val="center"/>
          </w:tcPr>
          <w:p w14:paraId="0ED097DF">
            <w:pPr>
              <w:widowControl w:val="0"/>
              <w:autoSpaceDE w:val="0"/>
              <w:autoSpaceDN w:val="0"/>
              <w:adjustRightInd w:val="0"/>
              <w:spacing w:after="0" w:line="240" w:lineRule="auto"/>
              <w:jc w:val="center"/>
              <w:rPr>
                <w:rFonts w:ascii="Times New Roman" w:hAnsi="Times New Roman" w:cs="Times New Roman"/>
                <w:sz w:val="28"/>
                <w:szCs w:val="28"/>
                <w:highlight w:val="yellow"/>
              </w:rPr>
            </w:pPr>
            <w:r>
              <w:rPr>
                <w:rFonts w:ascii="Times New Roman" w:hAnsi="Times New Roman" w:cs="Times New Roman"/>
                <w:sz w:val="28"/>
                <w:szCs w:val="28"/>
              </w:rPr>
              <w:t>не более 60 на учреждение</w:t>
            </w:r>
          </w:p>
        </w:tc>
        <w:tc>
          <w:tcPr>
            <w:tcW w:w="2385" w:type="dxa"/>
            <w:vAlign w:val="center"/>
          </w:tcPr>
          <w:p w14:paraId="735EFFEE">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r w14:paraId="55D3F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4565" w:type="dxa"/>
            <w:vAlign w:val="center"/>
          </w:tcPr>
          <w:p w14:paraId="793EAF66">
            <w:pPr>
              <w:spacing w:after="0" w:line="240" w:lineRule="auto"/>
              <w:rPr>
                <w:rFonts w:ascii="Times New Roman" w:hAnsi="Times New Roman" w:cs="Times New Roman"/>
                <w:sz w:val="28"/>
                <w:szCs w:val="28"/>
              </w:rPr>
            </w:pPr>
            <w:r>
              <w:rPr>
                <w:rFonts w:ascii="Times New Roman" w:hAnsi="Times New Roman" w:cs="Times New Roman"/>
                <w:sz w:val="28"/>
                <w:szCs w:val="28"/>
              </w:rPr>
              <w:t>Шкаф металлический</w:t>
            </w:r>
          </w:p>
        </w:tc>
        <w:tc>
          <w:tcPr>
            <w:tcW w:w="2689" w:type="dxa"/>
            <w:gridSpan w:val="2"/>
            <w:vAlign w:val="center"/>
          </w:tcPr>
          <w:p w14:paraId="74DBE6BE">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 на кабинет</w:t>
            </w:r>
          </w:p>
        </w:tc>
        <w:tc>
          <w:tcPr>
            <w:tcW w:w="2385" w:type="dxa"/>
            <w:vAlign w:val="center"/>
          </w:tcPr>
          <w:p w14:paraId="33300F9E">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14:paraId="5CEB5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4565" w:type="dxa"/>
            <w:vAlign w:val="center"/>
          </w:tcPr>
          <w:p w14:paraId="40F73F0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Сейф </w:t>
            </w:r>
          </w:p>
        </w:tc>
        <w:tc>
          <w:tcPr>
            <w:tcW w:w="2689" w:type="dxa"/>
            <w:gridSpan w:val="2"/>
            <w:vAlign w:val="center"/>
          </w:tcPr>
          <w:p w14:paraId="683A3055">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2385" w:type="dxa"/>
            <w:vAlign w:val="center"/>
          </w:tcPr>
          <w:p w14:paraId="1B5D1495">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15 000,00</w:t>
            </w:r>
          </w:p>
        </w:tc>
      </w:tr>
      <w:tr w14:paraId="1E60A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4565" w:type="dxa"/>
            <w:vAlign w:val="center"/>
          </w:tcPr>
          <w:p w14:paraId="4BFF311D">
            <w:pPr>
              <w:spacing w:after="0" w:line="240" w:lineRule="auto"/>
              <w:rPr>
                <w:rFonts w:ascii="Times New Roman" w:hAnsi="Times New Roman" w:cs="Times New Roman"/>
                <w:sz w:val="28"/>
                <w:szCs w:val="28"/>
              </w:rPr>
            </w:pPr>
            <w:r>
              <w:rPr>
                <w:rFonts w:ascii="Times New Roman" w:hAnsi="Times New Roman" w:cs="Times New Roman"/>
                <w:sz w:val="28"/>
                <w:szCs w:val="28"/>
              </w:rPr>
              <w:t>Шкаф огнестойкий архивный</w:t>
            </w:r>
          </w:p>
        </w:tc>
        <w:tc>
          <w:tcPr>
            <w:tcW w:w="2689" w:type="dxa"/>
            <w:gridSpan w:val="2"/>
            <w:vAlign w:val="center"/>
          </w:tcPr>
          <w:p w14:paraId="180C12B5">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отдел</w:t>
            </w:r>
          </w:p>
        </w:tc>
        <w:tc>
          <w:tcPr>
            <w:tcW w:w="2385" w:type="dxa"/>
            <w:vAlign w:val="center"/>
          </w:tcPr>
          <w:p w14:paraId="2236762F">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14:paraId="34A98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4565" w:type="dxa"/>
            <w:vAlign w:val="center"/>
          </w:tcPr>
          <w:p w14:paraId="2F3A9145">
            <w:pPr>
              <w:spacing w:after="0" w:line="240" w:lineRule="auto"/>
              <w:rPr>
                <w:rFonts w:ascii="Times New Roman" w:hAnsi="Times New Roman" w:cs="Times New Roman"/>
                <w:sz w:val="28"/>
                <w:szCs w:val="28"/>
              </w:rPr>
            </w:pPr>
            <w:r>
              <w:rPr>
                <w:rFonts w:ascii="Times New Roman" w:hAnsi="Times New Roman" w:cs="Times New Roman"/>
                <w:sz w:val="28"/>
                <w:szCs w:val="28"/>
              </w:rPr>
              <w:t>Вешалка</w:t>
            </w:r>
          </w:p>
        </w:tc>
        <w:tc>
          <w:tcPr>
            <w:tcW w:w="2689" w:type="dxa"/>
            <w:gridSpan w:val="2"/>
            <w:vAlign w:val="center"/>
          </w:tcPr>
          <w:p w14:paraId="74E3DAE8">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 на кабинет</w:t>
            </w:r>
          </w:p>
        </w:tc>
        <w:tc>
          <w:tcPr>
            <w:tcW w:w="2385" w:type="dxa"/>
            <w:vAlign w:val="center"/>
          </w:tcPr>
          <w:p w14:paraId="6451E42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2 300,00</w:t>
            </w:r>
          </w:p>
        </w:tc>
      </w:tr>
      <w:tr w14:paraId="35EBD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4565" w:type="dxa"/>
            <w:vAlign w:val="center"/>
          </w:tcPr>
          <w:p w14:paraId="664F08C3">
            <w:pPr>
              <w:spacing w:after="0" w:line="240" w:lineRule="auto"/>
              <w:rPr>
                <w:rFonts w:ascii="Times New Roman" w:hAnsi="Times New Roman" w:cs="Times New Roman"/>
                <w:sz w:val="28"/>
                <w:szCs w:val="28"/>
              </w:rPr>
            </w:pPr>
            <w:r>
              <w:rPr>
                <w:rFonts w:ascii="Times New Roman" w:hAnsi="Times New Roman" w:cs="Times New Roman"/>
                <w:sz w:val="28"/>
                <w:szCs w:val="28"/>
              </w:rPr>
              <w:t>Доска магнитно-маркерная (на ножках, на стенде)</w:t>
            </w:r>
          </w:p>
        </w:tc>
        <w:tc>
          <w:tcPr>
            <w:tcW w:w="2689" w:type="dxa"/>
            <w:gridSpan w:val="2"/>
            <w:vAlign w:val="center"/>
          </w:tcPr>
          <w:p w14:paraId="010FFE21">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 на кабинет</w:t>
            </w:r>
          </w:p>
        </w:tc>
        <w:tc>
          <w:tcPr>
            <w:tcW w:w="2385" w:type="dxa"/>
            <w:vAlign w:val="center"/>
          </w:tcPr>
          <w:p w14:paraId="5D94F0EF">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20 000,00</w:t>
            </w:r>
          </w:p>
        </w:tc>
      </w:tr>
      <w:tr w14:paraId="3CCC5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4565" w:type="dxa"/>
            <w:vAlign w:val="center"/>
          </w:tcPr>
          <w:p w14:paraId="347585C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Доска пробковая </w:t>
            </w:r>
          </w:p>
        </w:tc>
        <w:tc>
          <w:tcPr>
            <w:tcW w:w="2689" w:type="dxa"/>
            <w:gridSpan w:val="2"/>
            <w:vAlign w:val="center"/>
          </w:tcPr>
          <w:p w14:paraId="1B9A77F1">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кабинет</w:t>
            </w:r>
          </w:p>
        </w:tc>
        <w:tc>
          <w:tcPr>
            <w:tcW w:w="2385" w:type="dxa"/>
            <w:vAlign w:val="center"/>
          </w:tcPr>
          <w:p w14:paraId="0FF81F1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4 500,00</w:t>
            </w:r>
          </w:p>
        </w:tc>
      </w:tr>
      <w:tr w14:paraId="3DD44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4565" w:type="dxa"/>
            <w:vAlign w:val="center"/>
          </w:tcPr>
          <w:p w14:paraId="0F068A6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Стеллаж офисный </w:t>
            </w:r>
          </w:p>
        </w:tc>
        <w:tc>
          <w:tcPr>
            <w:tcW w:w="2689" w:type="dxa"/>
            <w:gridSpan w:val="2"/>
            <w:vAlign w:val="center"/>
          </w:tcPr>
          <w:p w14:paraId="08F72B51">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кабинет</w:t>
            </w:r>
          </w:p>
        </w:tc>
        <w:tc>
          <w:tcPr>
            <w:tcW w:w="2385" w:type="dxa"/>
            <w:vAlign w:val="center"/>
          </w:tcPr>
          <w:p w14:paraId="0D457CE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15 000,00</w:t>
            </w:r>
          </w:p>
        </w:tc>
      </w:tr>
      <w:tr w14:paraId="05B90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4565" w:type="dxa"/>
            <w:vAlign w:val="center"/>
          </w:tcPr>
          <w:p w14:paraId="24048327">
            <w:pPr>
              <w:spacing w:after="0" w:line="240" w:lineRule="auto"/>
              <w:rPr>
                <w:rFonts w:ascii="Times New Roman" w:hAnsi="Times New Roman" w:cs="Times New Roman"/>
                <w:sz w:val="28"/>
                <w:szCs w:val="28"/>
              </w:rPr>
            </w:pPr>
            <w:r>
              <w:rPr>
                <w:rFonts w:ascii="Times New Roman" w:hAnsi="Times New Roman" w:cs="Times New Roman"/>
                <w:sz w:val="28"/>
                <w:szCs w:val="28"/>
              </w:rPr>
              <w:t>Шкаф - купе</w:t>
            </w:r>
          </w:p>
        </w:tc>
        <w:tc>
          <w:tcPr>
            <w:tcW w:w="2689" w:type="dxa"/>
            <w:gridSpan w:val="2"/>
            <w:vAlign w:val="center"/>
          </w:tcPr>
          <w:p w14:paraId="5C2841E3">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кабинет</w:t>
            </w:r>
          </w:p>
        </w:tc>
        <w:tc>
          <w:tcPr>
            <w:tcW w:w="2385" w:type="dxa"/>
            <w:vAlign w:val="center"/>
          </w:tcPr>
          <w:p w14:paraId="0F748FB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95 000,00</w:t>
            </w:r>
          </w:p>
        </w:tc>
      </w:tr>
      <w:tr w14:paraId="29283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4565" w:type="dxa"/>
            <w:vAlign w:val="center"/>
          </w:tcPr>
          <w:p w14:paraId="2676E32D">
            <w:pPr>
              <w:spacing w:after="0" w:line="240" w:lineRule="auto"/>
              <w:rPr>
                <w:rFonts w:ascii="Times New Roman" w:hAnsi="Times New Roman" w:cs="Times New Roman"/>
                <w:sz w:val="28"/>
                <w:szCs w:val="28"/>
              </w:rPr>
            </w:pPr>
            <w:r>
              <w:rPr>
                <w:rFonts w:ascii="Times New Roman" w:hAnsi="Times New Roman" w:cs="Times New Roman"/>
                <w:sz w:val="28"/>
                <w:szCs w:val="28"/>
              </w:rPr>
              <w:t>Кулер для воды</w:t>
            </w:r>
          </w:p>
        </w:tc>
        <w:tc>
          <w:tcPr>
            <w:tcW w:w="2689" w:type="dxa"/>
            <w:gridSpan w:val="2"/>
            <w:vAlign w:val="center"/>
          </w:tcPr>
          <w:p w14:paraId="39F5F556">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учреждение</w:t>
            </w:r>
          </w:p>
        </w:tc>
        <w:tc>
          <w:tcPr>
            <w:tcW w:w="2385" w:type="dxa"/>
            <w:vAlign w:val="center"/>
          </w:tcPr>
          <w:p w14:paraId="2BD1C2B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35000,00</w:t>
            </w:r>
          </w:p>
        </w:tc>
      </w:tr>
      <w:tr w14:paraId="1B5A2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4565" w:type="dxa"/>
            <w:vAlign w:val="center"/>
          </w:tcPr>
          <w:p w14:paraId="062A8EA7">
            <w:pPr>
              <w:spacing w:after="0" w:line="240" w:lineRule="auto"/>
              <w:rPr>
                <w:rFonts w:ascii="Times New Roman" w:hAnsi="Times New Roman" w:cs="Times New Roman"/>
                <w:sz w:val="28"/>
                <w:szCs w:val="28"/>
              </w:rPr>
            </w:pPr>
            <w:r>
              <w:rPr>
                <w:rFonts w:ascii="Times New Roman" w:hAnsi="Times New Roman" w:cs="Times New Roman"/>
                <w:sz w:val="28"/>
                <w:szCs w:val="28"/>
              </w:rPr>
              <w:t>Кофемашина</w:t>
            </w:r>
          </w:p>
        </w:tc>
        <w:tc>
          <w:tcPr>
            <w:tcW w:w="2689" w:type="dxa"/>
            <w:gridSpan w:val="2"/>
            <w:vAlign w:val="center"/>
          </w:tcPr>
          <w:p w14:paraId="29AF3D6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учреждение</w:t>
            </w:r>
          </w:p>
        </w:tc>
        <w:tc>
          <w:tcPr>
            <w:tcW w:w="2385" w:type="dxa"/>
            <w:vAlign w:val="center"/>
          </w:tcPr>
          <w:p w14:paraId="42D25D82">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70 000,00</w:t>
            </w:r>
          </w:p>
        </w:tc>
      </w:tr>
    </w:tbl>
    <w:p w14:paraId="784BB6AF">
      <w:pPr>
        <w:autoSpaceDE w:val="0"/>
        <w:autoSpaceDN w:val="0"/>
        <w:adjustRightInd w:val="0"/>
        <w:spacing w:after="0" w:line="240" w:lineRule="auto"/>
        <w:jc w:val="both"/>
        <w:outlineLvl w:val="1"/>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*Служебные помещения по мере необходимости обеспечиваются предметами мебели, не указанными в настоящем Порядке, </w:t>
      </w:r>
      <w:r>
        <w:rPr>
          <w:rFonts w:ascii="Times New Roman" w:hAnsi="Times New Roman" w:cs="Times New Roman"/>
          <w:bCs/>
          <w:sz w:val="24"/>
          <w:szCs w:val="28"/>
        </w:rPr>
        <w:t>в пределах доведенных лимитов бюджетных обязательств на обеспечение функций министерства</w:t>
      </w:r>
      <w:r>
        <w:rPr>
          <w:rFonts w:ascii="Times New Roman" w:hAnsi="Times New Roman" w:cs="Times New Roman"/>
          <w:sz w:val="24"/>
          <w:szCs w:val="24"/>
        </w:rPr>
        <w:t xml:space="preserve"> и подведомственного ему областного казенного учреждения</w:t>
      </w:r>
      <w:r>
        <w:rPr>
          <w:rFonts w:ascii="Times New Roman" w:hAnsi="Times New Roman" w:cs="Times New Roman"/>
          <w:bCs/>
          <w:sz w:val="24"/>
          <w:szCs w:val="28"/>
        </w:rPr>
        <w:t>.</w:t>
      </w:r>
    </w:p>
    <w:p w14:paraId="0BAC4E7D">
      <w:pPr>
        <w:autoSpaceDE w:val="0"/>
        <w:autoSpaceDN w:val="0"/>
        <w:adjustRightInd w:val="0"/>
        <w:spacing w:after="0" w:line="240" w:lineRule="auto"/>
        <w:jc w:val="both"/>
        <w:outlineLvl w:val="1"/>
        <w:rPr>
          <w:rFonts w:ascii="Times New Roman" w:hAnsi="Times New Roman" w:cs="Times New Roman"/>
          <w:bCs/>
          <w:color w:val="000000"/>
          <w:sz w:val="24"/>
          <w:szCs w:val="24"/>
        </w:rPr>
      </w:pPr>
      <w:r>
        <w:rPr>
          <w:rFonts w:ascii="Times New Roman" w:hAnsi="Times New Roman" w:cs="Times New Roman"/>
          <w:bCs/>
          <w:color w:val="000000"/>
          <w:sz w:val="24"/>
          <w:szCs w:val="24"/>
        </w:rPr>
        <w:t>**Потребность обеспечения мебелью определяется исходя из прекращения использования имеющейся мебели вследствие ее физического износа, но не более количества, указанного в нормативе.</w:t>
      </w:r>
    </w:p>
    <w:p w14:paraId="32D3FB14">
      <w:pPr>
        <w:widowControl w:val="0"/>
        <w:autoSpaceDE w:val="0"/>
        <w:autoSpaceDN w:val="0"/>
        <w:spacing w:before="240" w:after="0" w:line="36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9.1. Затраты на оплату услуг по сборке и разборке мебели министерства и подведомственного учреждения (Зср) определяется по формуле:</w:t>
      </w:r>
    </w:p>
    <w:p w14:paraId="76CB0FBD">
      <w:pPr>
        <w:widowControl w:val="0"/>
        <w:autoSpaceDE w:val="0"/>
        <w:autoSpaceDN w:val="0"/>
        <w:spacing w:before="240" w:after="0" w:line="36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Зср= </w:t>
      </w:r>
      <w:r>
        <w:rPr>
          <w:rFonts w:ascii="Times New Roman" w:hAnsi="Times New Roman" w:eastAsia="Times New Roman" w:cs="Times New Roman"/>
          <w:sz w:val="28"/>
          <w:szCs w:val="28"/>
          <w:lang w:val="en-US" w:eastAsia="ru-RU"/>
        </w:rPr>
        <w:t>Q</w:t>
      </w:r>
      <w:r>
        <w:rPr>
          <w:rFonts w:ascii="Times New Roman" w:hAnsi="Times New Roman" w:eastAsia="Times New Roman" w:cs="Times New Roman"/>
          <w:sz w:val="28"/>
          <w:szCs w:val="28"/>
          <w:lang w:eastAsia="ru-RU"/>
        </w:rPr>
        <w:t xml:space="preserve">ср </w:t>
      </w:r>
      <w:r>
        <w:rPr>
          <w:rFonts w:ascii="Times New Roman" w:hAnsi="Times New Roman" w:eastAsia="Times New Roman" w:cs="Times New Roman"/>
          <w:sz w:val="28"/>
          <w:szCs w:val="28"/>
          <w:lang w:val="en-US" w:eastAsia="ru-RU"/>
        </w:rPr>
        <w:t>x</w:t>
      </w:r>
      <w:r>
        <w:rPr>
          <w:rFonts w:ascii="Times New Roman" w:hAnsi="Times New Roman" w:eastAsia="Times New Roman" w:cs="Times New Roman"/>
          <w:sz w:val="28"/>
          <w:szCs w:val="28"/>
          <w:lang w:eastAsia="ru-RU"/>
        </w:rPr>
        <w:t xml:space="preserve"> Рср, где</w:t>
      </w:r>
    </w:p>
    <w:p w14:paraId="2E8CB1A3">
      <w:pPr>
        <w:widowControl w:val="0"/>
        <w:autoSpaceDE w:val="0"/>
        <w:autoSpaceDN w:val="0"/>
        <w:spacing w:before="240" w:after="0" w:line="36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val="en-US" w:eastAsia="ru-RU"/>
        </w:rPr>
        <w:t>Q</w:t>
      </w:r>
      <w:r>
        <w:rPr>
          <w:rFonts w:ascii="Times New Roman" w:hAnsi="Times New Roman" w:eastAsia="Times New Roman" w:cs="Times New Roman"/>
          <w:sz w:val="28"/>
          <w:szCs w:val="28"/>
          <w:lang w:eastAsia="ru-RU"/>
        </w:rPr>
        <w:t>ср- количество услуг по сборке и разборке мебели,</w:t>
      </w:r>
    </w:p>
    <w:p w14:paraId="1B69587B">
      <w:pPr>
        <w:widowControl w:val="0"/>
        <w:autoSpaceDE w:val="0"/>
        <w:autoSpaceDN w:val="0"/>
        <w:spacing w:before="240" w:after="0" w:line="36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Рср- цена предоставления услуг по сборке и разборке мебели.</w:t>
      </w:r>
    </w:p>
    <w:p w14:paraId="3B3EA98F">
      <w:pPr>
        <w:widowControl w:val="0"/>
        <w:autoSpaceDE w:val="0"/>
        <w:autoSpaceDN w:val="0"/>
        <w:spacing w:before="240" w:after="0" w:line="36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Расчет затрат производится в соответствии с нормативами согласно таблице 29.1.</w:t>
      </w:r>
    </w:p>
    <w:p w14:paraId="3F3217B9">
      <w:pPr>
        <w:widowControl w:val="0"/>
        <w:autoSpaceDE w:val="0"/>
        <w:autoSpaceDN w:val="0"/>
        <w:spacing w:before="240" w:after="0" w:line="36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Таблица №29.1                                                                      </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70"/>
        <w:gridCol w:w="4871"/>
      </w:tblGrid>
      <w:tr w14:paraId="4098F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0" w:type="dxa"/>
          </w:tcPr>
          <w:p w14:paraId="0D350CC6">
            <w:pPr>
              <w:widowControl w:val="0"/>
              <w:autoSpaceDE w:val="0"/>
              <w:autoSpaceDN w:val="0"/>
              <w:spacing w:before="240" w:after="0" w:line="36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Количество услуг по сборке и разборке мебели за 1 единицу (штуку) </w:t>
            </w:r>
          </w:p>
        </w:tc>
        <w:tc>
          <w:tcPr>
            <w:tcW w:w="4871" w:type="dxa"/>
          </w:tcPr>
          <w:p w14:paraId="4737BEA1">
            <w:pPr>
              <w:widowControl w:val="0"/>
              <w:autoSpaceDE w:val="0"/>
              <w:autoSpaceDN w:val="0"/>
              <w:spacing w:before="240" w:after="0" w:line="36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Цена предоставления услуги по сборке и разборке мебели за 1 единицу (штуку), рублей</w:t>
            </w:r>
          </w:p>
        </w:tc>
      </w:tr>
      <w:tr w14:paraId="2F3F5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0" w:type="dxa"/>
          </w:tcPr>
          <w:p w14:paraId="465E42D4">
            <w:pPr>
              <w:widowControl w:val="0"/>
              <w:autoSpaceDE w:val="0"/>
              <w:autoSpaceDN w:val="0"/>
              <w:spacing w:before="240" w:after="0" w:line="36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не более 10</w:t>
            </w:r>
          </w:p>
        </w:tc>
        <w:tc>
          <w:tcPr>
            <w:tcW w:w="4871" w:type="dxa"/>
          </w:tcPr>
          <w:p w14:paraId="29369D5A">
            <w:pPr>
              <w:widowControl w:val="0"/>
              <w:autoSpaceDE w:val="0"/>
              <w:autoSpaceDN w:val="0"/>
              <w:spacing w:before="240" w:after="0" w:line="36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не более 5 000,00</w:t>
            </w:r>
          </w:p>
        </w:tc>
      </w:tr>
    </w:tbl>
    <w:p w14:paraId="50DD5E54">
      <w:pPr>
        <w:widowControl w:val="0"/>
        <w:autoSpaceDE w:val="0"/>
        <w:autoSpaceDN w:val="0"/>
        <w:spacing w:before="240" w:after="0" w:line="36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w:t>
      </w:r>
    </w:p>
    <w:p w14:paraId="068D399A">
      <w:pPr>
        <w:widowControl w:val="0"/>
        <w:autoSpaceDE w:val="0"/>
        <w:autoSpaceDN w:val="0"/>
        <w:spacing w:before="240" w:after="0" w:line="36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10. Затраты на приобретение систем кондиционирования </w:t>
      </w:r>
      <w:r>
        <w:rPr>
          <w:rFonts w:ascii="Times New Roman" w:hAnsi="Times New Roman" w:eastAsia="Times New Roman" w:cs="Times New Roman"/>
          <w:position w:val="-12"/>
          <w:sz w:val="28"/>
          <w:szCs w:val="28"/>
          <w:lang w:eastAsia="ru-RU"/>
        </w:rPr>
        <w:drawing>
          <wp:inline distT="0" distB="0" distL="0" distR="0">
            <wp:extent cx="374015" cy="254635"/>
            <wp:effectExtent l="0" t="0" r="6985" b="0"/>
            <wp:docPr id="106" name="Рисунок 106" descr="base_23792_85543_839"/>
            <wp:cNvGraphicFramePr/>
            <a:graphic xmlns:a="http://schemas.openxmlformats.org/drawingml/2006/main">
              <a:graphicData uri="http://schemas.openxmlformats.org/drawingml/2006/picture">
                <pic:pic xmlns:pic="http://schemas.openxmlformats.org/drawingml/2006/picture">
                  <pic:nvPicPr>
                    <pic:cNvPr id="106" name="Рисунок 106" descr="base_23792_85543_839"/>
                    <pic:cNvPicPr preferRelativeResize="0">
                      <a:picLocks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a:xfrm>
                      <a:off x="0" y="0"/>
                      <a:ext cx="374015" cy="254635"/>
                    </a:xfrm>
                    <a:prstGeom prst="rect">
                      <a:avLst/>
                    </a:prstGeom>
                    <a:noFill/>
                    <a:ln>
                      <a:noFill/>
                    </a:ln>
                  </pic:spPr>
                </pic:pic>
              </a:graphicData>
            </a:graphic>
          </wp:inline>
        </w:drawing>
      </w:r>
      <w:r>
        <w:rPr>
          <w:rFonts w:ascii="Times New Roman" w:hAnsi="Times New Roman" w:eastAsia="Times New Roman" w:cs="Times New Roman"/>
          <w:sz w:val="28"/>
          <w:szCs w:val="28"/>
          <w:lang w:eastAsia="ru-RU"/>
        </w:rPr>
        <w:t>, определяемые по формуле:</w:t>
      </w:r>
    </w:p>
    <w:p w14:paraId="72E7833D">
      <w:pPr>
        <w:widowControl w:val="0"/>
        <w:autoSpaceDE w:val="0"/>
        <w:autoSpaceDN w:val="0"/>
        <w:spacing w:after="0" w:line="360" w:lineRule="auto"/>
        <w:ind w:firstLine="709"/>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drawing>
          <wp:inline distT="0" distB="0" distL="0" distR="0">
            <wp:extent cx="1582420" cy="476885"/>
            <wp:effectExtent l="0" t="0" r="0" b="0"/>
            <wp:docPr id="105" name="Рисунок 105" descr="base_23792_85543_840"/>
            <wp:cNvGraphicFramePr/>
            <a:graphic xmlns:a="http://schemas.openxmlformats.org/drawingml/2006/main">
              <a:graphicData uri="http://schemas.openxmlformats.org/drawingml/2006/picture">
                <pic:pic xmlns:pic="http://schemas.openxmlformats.org/drawingml/2006/picture">
                  <pic:nvPicPr>
                    <pic:cNvPr id="105" name="Рисунок 105" descr="base_23792_85543_840"/>
                    <pic:cNvPicPr preferRelativeResize="0">
                      <a:picLocks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a:xfrm>
                      <a:off x="0" y="0"/>
                      <a:ext cx="1582420" cy="476885"/>
                    </a:xfrm>
                    <a:prstGeom prst="rect">
                      <a:avLst/>
                    </a:prstGeom>
                    <a:noFill/>
                    <a:ln>
                      <a:noFill/>
                    </a:ln>
                  </pic:spPr>
                </pic:pic>
              </a:graphicData>
            </a:graphic>
          </wp:inline>
        </w:drawing>
      </w:r>
    </w:p>
    <w:p w14:paraId="36A2A123">
      <w:pPr>
        <w:widowControl w:val="0"/>
        <w:autoSpaceDE w:val="0"/>
        <w:autoSpaceDN w:val="0"/>
        <w:spacing w:after="0" w:line="36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position w:val="-14"/>
          <w:sz w:val="28"/>
          <w:szCs w:val="28"/>
          <w:lang w:eastAsia="ru-RU"/>
        </w:rPr>
        <w:drawing>
          <wp:inline distT="0" distB="0" distL="0" distR="0">
            <wp:extent cx="254635" cy="254635"/>
            <wp:effectExtent l="0" t="0" r="0" b="0"/>
            <wp:docPr id="104" name="Рисунок 104" descr="base_23792_85543_841"/>
            <wp:cNvGraphicFramePr/>
            <a:graphic xmlns:a="http://schemas.openxmlformats.org/drawingml/2006/main">
              <a:graphicData uri="http://schemas.openxmlformats.org/drawingml/2006/picture">
                <pic:pic xmlns:pic="http://schemas.openxmlformats.org/drawingml/2006/picture">
                  <pic:nvPicPr>
                    <pic:cNvPr id="104" name="Рисунок 104" descr="base_23792_85543_841"/>
                    <pic:cNvPicPr preferRelativeResize="0">
                      <a:picLocks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a:xfrm>
                      <a:off x="0" y="0"/>
                      <a:ext cx="254635" cy="254635"/>
                    </a:xfrm>
                    <a:prstGeom prst="rect">
                      <a:avLst/>
                    </a:prstGeom>
                    <a:noFill/>
                    <a:ln>
                      <a:noFill/>
                    </a:ln>
                  </pic:spPr>
                </pic:pic>
              </a:graphicData>
            </a:graphic>
          </wp:inline>
        </w:drawing>
      </w:r>
      <w:r>
        <w:rPr>
          <w:rFonts w:ascii="Times New Roman" w:hAnsi="Times New Roman" w:eastAsia="Times New Roman" w:cs="Times New Roman"/>
          <w:sz w:val="28"/>
          <w:szCs w:val="28"/>
          <w:lang w:eastAsia="ru-RU"/>
        </w:rPr>
        <w:t xml:space="preserve"> – количество i-х систем кондиционирования;</w:t>
      </w:r>
    </w:p>
    <w:p w14:paraId="180C9DCC">
      <w:pPr>
        <w:pStyle w:val="17"/>
        <w:widowControl w:val="0"/>
        <w:numPr>
          <w:ilvl w:val="0"/>
          <w:numId w:val="2"/>
        </w:numPr>
        <w:autoSpaceDE w:val="0"/>
        <w:autoSpaceDN w:val="0"/>
        <w:spacing w:after="0" w:line="36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цена одной системы кондиционирования.</w:t>
      </w:r>
    </w:p>
    <w:p w14:paraId="62720FA9">
      <w:pPr>
        <w:pStyle w:val="17"/>
        <w:widowControl w:val="0"/>
        <w:numPr>
          <w:ilvl w:val="0"/>
          <w:numId w:val="2"/>
        </w:numPr>
        <w:autoSpaceDE w:val="0"/>
        <w:autoSpaceDN w:val="0"/>
        <w:spacing w:after="0" w:line="360" w:lineRule="auto"/>
        <w:jc w:val="both"/>
        <w:rPr>
          <w:rFonts w:ascii="Times New Roman" w:hAnsi="Times New Roman" w:eastAsia="Times New Roman" w:cs="Times New Roman"/>
          <w:sz w:val="28"/>
          <w:szCs w:val="28"/>
          <w:lang w:eastAsia="ru-RU"/>
        </w:rPr>
      </w:pPr>
    </w:p>
    <w:p w14:paraId="1BE3DCE5">
      <w:pPr>
        <w:widowControl w:val="0"/>
        <w:autoSpaceDE w:val="0"/>
        <w:autoSpaceDN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системы кондиционирования производится в соответствии с нормативами согласно таблице №30. </w:t>
      </w:r>
    </w:p>
    <w:p w14:paraId="6FD631CD">
      <w:pPr>
        <w:widowControl w:val="0"/>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№30</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3174"/>
        <w:gridCol w:w="2435"/>
        <w:gridCol w:w="2436"/>
      </w:tblGrid>
      <w:tr w14:paraId="53A06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tcPr>
          <w:p w14:paraId="20D60597">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p>
        </w:tc>
        <w:tc>
          <w:tcPr>
            <w:tcW w:w="3174" w:type="dxa"/>
          </w:tcPr>
          <w:p w14:paraId="4DA12A2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Наименование системы кондиционирования</w:t>
            </w:r>
          </w:p>
        </w:tc>
        <w:tc>
          <w:tcPr>
            <w:tcW w:w="2435" w:type="dxa"/>
          </w:tcPr>
          <w:p w14:paraId="3AD9F746">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Норматив количества (штук)</w:t>
            </w:r>
          </w:p>
        </w:tc>
        <w:tc>
          <w:tcPr>
            <w:tcW w:w="2436" w:type="dxa"/>
          </w:tcPr>
          <w:p w14:paraId="56F0169D">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14:paraId="14A96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1" w:type="dxa"/>
            <w:gridSpan w:val="4"/>
          </w:tcPr>
          <w:p w14:paraId="7E18B374">
            <w:pPr>
              <w:widowControl w:val="0"/>
              <w:autoSpaceDE w:val="0"/>
              <w:autoSpaceDN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14:paraId="23320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tcPr>
          <w:p w14:paraId="425225AE">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3174" w:type="dxa"/>
          </w:tcPr>
          <w:p w14:paraId="647C69F6">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Кондиционер </w:t>
            </w:r>
          </w:p>
        </w:tc>
        <w:tc>
          <w:tcPr>
            <w:tcW w:w="2435" w:type="dxa"/>
          </w:tcPr>
          <w:p w14:paraId="13F9F5D6">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Не более 2 штук</w:t>
            </w:r>
          </w:p>
        </w:tc>
        <w:tc>
          <w:tcPr>
            <w:tcW w:w="2436" w:type="dxa"/>
          </w:tcPr>
          <w:p w14:paraId="28E36624">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не более</w:t>
            </w:r>
          </w:p>
          <w:p w14:paraId="7758C2B1">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46 000,00</w:t>
            </w:r>
          </w:p>
        </w:tc>
      </w:tr>
      <w:tr w14:paraId="7D785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tcPr>
          <w:p w14:paraId="51BA160E">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 </w:t>
            </w:r>
          </w:p>
        </w:tc>
        <w:tc>
          <w:tcPr>
            <w:tcW w:w="3174" w:type="dxa"/>
          </w:tcPr>
          <w:p w14:paraId="6AED0108">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Сплит-система</w:t>
            </w:r>
          </w:p>
        </w:tc>
        <w:tc>
          <w:tcPr>
            <w:tcW w:w="2435" w:type="dxa"/>
          </w:tcPr>
          <w:p w14:paraId="214D89F7">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Не более 1 штуки</w:t>
            </w:r>
          </w:p>
        </w:tc>
        <w:tc>
          <w:tcPr>
            <w:tcW w:w="2436" w:type="dxa"/>
          </w:tcPr>
          <w:p w14:paraId="07E916B1">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не более </w:t>
            </w:r>
          </w:p>
          <w:p w14:paraId="36B29E86">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110 000,00</w:t>
            </w:r>
          </w:p>
        </w:tc>
      </w:tr>
      <w:tr w14:paraId="7C8CB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1" w:type="dxa"/>
            <w:gridSpan w:val="4"/>
          </w:tcPr>
          <w:p w14:paraId="1839CD7C">
            <w:pPr>
              <w:widowControl w:val="0"/>
              <w:autoSpaceDE w:val="0"/>
              <w:autoSpaceDN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учреждение</w:t>
            </w:r>
          </w:p>
        </w:tc>
      </w:tr>
      <w:tr w14:paraId="604C8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tcPr>
          <w:p w14:paraId="1721F283">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3174" w:type="dxa"/>
          </w:tcPr>
          <w:p w14:paraId="0C613986">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Кондиционер</w:t>
            </w:r>
          </w:p>
        </w:tc>
        <w:tc>
          <w:tcPr>
            <w:tcW w:w="2435" w:type="dxa"/>
          </w:tcPr>
          <w:p w14:paraId="08E88A6C">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Не более 2 штук</w:t>
            </w:r>
          </w:p>
        </w:tc>
        <w:tc>
          <w:tcPr>
            <w:tcW w:w="2436" w:type="dxa"/>
          </w:tcPr>
          <w:p w14:paraId="68BE6E24">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не более </w:t>
            </w:r>
          </w:p>
          <w:p w14:paraId="5C13025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46 000,00</w:t>
            </w:r>
          </w:p>
        </w:tc>
      </w:tr>
    </w:tbl>
    <w:p w14:paraId="21A1149E">
      <w:pPr>
        <w:widowControl w:val="0"/>
        <w:autoSpaceDE w:val="0"/>
        <w:autoSpaceDN w:val="0"/>
        <w:spacing w:after="0" w:line="360" w:lineRule="auto"/>
        <w:ind w:firstLine="709"/>
        <w:jc w:val="both"/>
        <w:rPr>
          <w:rFonts w:ascii="Times New Roman" w:hAnsi="Times New Roman" w:cs="Times New Roman"/>
          <w:sz w:val="28"/>
          <w:szCs w:val="28"/>
        </w:rPr>
      </w:pPr>
    </w:p>
    <w:p w14:paraId="6B9B68B6">
      <w:pPr>
        <w:widowControl w:val="0"/>
        <w:autoSpaceDE w:val="0"/>
        <w:autoSpaceDN w:val="0"/>
        <w:spacing w:after="0" w:line="360" w:lineRule="auto"/>
        <w:ind w:firstLine="709"/>
        <w:jc w:val="both"/>
        <w:rPr>
          <w:rFonts w:ascii="Times New Roman" w:hAnsi="Times New Roman" w:cs="Times New Roman"/>
          <w:sz w:val="28"/>
          <w:szCs w:val="28"/>
        </w:rPr>
      </w:pPr>
    </w:p>
    <w:p w14:paraId="3F534F57">
      <w:pPr>
        <w:widowControl w:val="0"/>
        <w:autoSpaceDE w:val="0"/>
        <w:autoSpaceDN w:val="0"/>
        <w:spacing w:after="0" w:line="36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11. Затраты министерства и подведомственного учреждения на приобретение прочих основных средств, в том числе баннеров  и др. (З</w:t>
      </w:r>
      <w:r>
        <w:rPr>
          <w:rFonts w:ascii="Times New Roman" w:hAnsi="Times New Roman" w:eastAsia="Times New Roman" w:cs="Times New Roman"/>
          <w:sz w:val="28"/>
          <w:szCs w:val="28"/>
          <w:vertAlign w:val="subscript"/>
          <w:lang w:eastAsia="ru-RU"/>
        </w:rPr>
        <w:t xml:space="preserve">пос) </w:t>
      </w:r>
      <w:r>
        <w:rPr>
          <w:rFonts w:ascii="Times New Roman" w:hAnsi="Times New Roman" w:eastAsia="Times New Roman" w:cs="Times New Roman"/>
          <w:sz w:val="28"/>
          <w:szCs w:val="28"/>
          <w:lang w:eastAsia="ru-RU"/>
        </w:rPr>
        <w:t xml:space="preserve">определяются по формуле: </w:t>
      </w:r>
    </w:p>
    <w:p w14:paraId="7A178DAD">
      <w:pPr>
        <w:widowControl w:val="0"/>
        <w:autoSpaceDE w:val="0"/>
        <w:autoSpaceDN w:val="0"/>
        <w:adjustRightInd w:val="0"/>
        <w:spacing w:after="0" w:line="240" w:lineRule="auto"/>
        <w:jc w:val="center"/>
        <w:rPr>
          <w:rFonts w:ascii="Times New Roman" w:hAnsi="Times New Roman" w:eastAsia="Times New Roman" w:cs="Times New Roman"/>
          <w:i/>
          <w:sz w:val="20"/>
          <w:szCs w:val="24"/>
          <w:lang w:val="en-US"/>
        </w:rPr>
      </w:pPr>
      <m:oMathPara>
        <m:oMath>
          <m:sSub>
            <m:sSubPr>
              <m:ctrlPr>
                <w:rPr>
                  <w:rFonts w:ascii="Cambria Math" w:hAnsi="Cambria Math" w:eastAsia="Times New Roman" w:cs="Times New Roman"/>
                  <w:i/>
                  <w:sz w:val="20"/>
                  <w:szCs w:val="24"/>
                </w:rPr>
              </m:ctrlPr>
            </m:sSubPr>
            <m:e>
              <m:r>
                <m:rPr/>
                <w:rPr>
                  <w:rFonts w:ascii="Cambria Math" w:hAnsi="Cambria Math" w:eastAsia="Times New Roman" w:cs="Times New Roman"/>
                  <w:sz w:val="20"/>
                  <w:szCs w:val="24"/>
                </w:rPr>
                <m:t>З</m:t>
              </m:r>
              <m:ctrlPr>
                <w:rPr>
                  <w:rFonts w:ascii="Cambria Math" w:hAnsi="Cambria Math" w:eastAsia="Times New Roman" w:cs="Times New Roman"/>
                  <w:i/>
                  <w:sz w:val="20"/>
                  <w:szCs w:val="24"/>
                </w:rPr>
              </m:ctrlPr>
            </m:e>
            <m:sub>
              <m:r>
                <m:rPr>
                  <m:sty m:val="p"/>
                </m:rPr>
                <w:rPr>
                  <w:rFonts w:ascii="Cambria Math" w:hAnsi="Cambria Math" w:eastAsia="Times New Roman" w:cs="Times New Roman"/>
                  <w:sz w:val="20"/>
                  <w:szCs w:val="24"/>
                </w:rPr>
                <m:t>по</m:t>
              </m:r>
              <m:ctrlPr>
                <w:rPr>
                  <w:rFonts w:ascii="Cambria Math" w:hAnsi="Cambria Math" w:eastAsia="Times New Roman" w:cs="Times New Roman"/>
                  <w:i/>
                  <w:sz w:val="20"/>
                  <w:szCs w:val="24"/>
                </w:rPr>
              </m:ctrlPr>
            </m:sub>
          </m:sSub>
          <m:r>
            <m:rPr/>
            <w:rPr>
              <w:rFonts w:ascii="Cambria Math" w:hAnsi="Cambria Math" w:eastAsia="Times New Roman" w:cs="Times New Roman"/>
              <w:sz w:val="20"/>
              <w:szCs w:val="24"/>
            </w:rPr>
            <m:t>=</m:t>
          </m:r>
          <m:nary>
            <m:naryPr>
              <m:chr m:val="∑"/>
              <m:limLoc m:val="subSup"/>
              <m:ctrlPr>
                <w:rPr>
                  <w:rFonts w:ascii="Cambria Math" w:hAnsi="Cambria Math" w:eastAsia="Times New Roman" w:cs="Times New Roman"/>
                  <w:i/>
                  <w:sz w:val="20"/>
                  <w:szCs w:val="24"/>
                </w:rPr>
              </m:ctrlPr>
            </m:naryPr>
            <m:sub>
              <m:r>
                <m:rPr/>
                <w:rPr>
                  <w:rFonts w:ascii="Cambria Math" w:hAnsi="Cambria Math" w:eastAsia="Times New Roman" w:cs="Times New Roman"/>
                  <w:sz w:val="20"/>
                  <w:szCs w:val="24"/>
                  <w:lang w:val="en-US"/>
                </w:rPr>
                <m:t>i</m:t>
              </m:r>
              <m:r>
                <m:rPr/>
                <w:rPr>
                  <w:rFonts w:ascii="Cambria Math" w:hAnsi="Cambria Math" w:eastAsia="Times New Roman" w:cs="Times New Roman"/>
                  <w:sz w:val="20"/>
                  <w:szCs w:val="24"/>
                </w:rPr>
                <m:t>=1</m:t>
              </m:r>
              <m:ctrlPr>
                <w:rPr>
                  <w:rFonts w:ascii="Cambria Math" w:hAnsi="Cambria Math" w:eastAsia="Times New Roman" w:cs="Times New Roman"/>
                  <w:i/>
                  <w:sz w:val="20"/>
                  <w:szCs w:val="24"/>
                </w:rPr>
              </m:ctrlPr>
            </m:sub>
            <m:sup>
              <m:r>
                <m:rPr/>
                <w:rPr>
                  <w:rFonts w:ascii="Cambria Math" w:hAnsi="Cambria Math" w:eastAsia="Times New Roman" w:cs="Times New Roman"/>
                  <w:sz w:val="20"/>
                  <w:szCs w:val="24"/>
                </w:rPr>
                <m:t>n</m:t>
              </m:r>
              <m:ctrlPr>
                <w:rPr>
                  <w:rFonts w:ascii="Cambria Math" w:hAnsi="Cambria Math" w:eastAsia="Times New Roman" w:cs="Times New Roman"/>
                  <w:i/>
                  <w:sz w:val="20"/>
                  <w:szCs w:val="24"/>
                </w:rPr>
              </m:ctrlPr>
            </m:sup>
            <m:e>
              <m:r>
                <m:rPr>
                  <m:sty m:val="p"/>
                </m:rPr>
                <w:rPr>
                  <w:rFonts w:ascii="Cambria Math" w:hAnsi="Cambria Math" w:eastAsia="Times New Roman" w:cs="Times New Roman"/>
                  <w:sz w:val="20"/>
                  <w:szCs w:val="24"/>
                  <w:lang w:val="en-US"/>
                </w:rPr>
                <m:t>Q</m:t>
              </m:r>
              <m:r>
                <m:rPr>
                  <m:sty m:val="p"/>
                </m:rPr>
                <w:rPr>
                  <w:rFonts w:ascii="Cambria Math" w:hAnsi="Cambria Math" w:eastAsia="Times New Roman" w:cs="Times New Roman"/>
                  <w:sz w:val="20"/>
                  <w:szCs w:val="24"/>
                </w:rPr>
                <m:t>i пос</m:t>
              </m:r>
              <m:r>
                <m:rPr/>
                <w:rPr>
                  <w:rFonts w:ascii="Cambria Math" w:hAnsi="Cambria Math" w:eastAsia="Times New Roman" w:cs="Times New Roman"/>
                  <w:sz w:val="20"/>
                  <w:szCs w:val="24"/>
                </w:rPr>
                <m:t>×</m:t>
              </m:r>
              <m:sSub>
                <m:sSubPr>
                  <m:ctrlPr>
                    <w:rPr>
                      <w:rFonts w:ascii="Cambria Math" w:hAnsi="Cambria Math" w:eastAsia="Times New Roman" w:cs="Times New Roman"/>
                      <w:i/>
                      <w:sz w:val="20"/>
                      <w:szCs w:val="24"/>
                    </w:rPr>
                  </m:ctrlPr>
                </m:sSubPr>
                <m:e>
                  <m:r>
                    <m:rPr>
                      <m:sty m:val="p"/>
                    </m:rPr>
                    <w:rPr>
                      <w:rFonts w:ascii="Cambria Math" w:hAnsi="Cambria Math" w:eastAsia="Times New Roman" w:cs="Times New Roman"/>
                      <w:sz w:val="20"/>
                      <w:szCs w:val="24"/>
                      <w:lang w:val="en-US"/>
                    </w:rPr>
                    <m:t>P</m:t>
                  </m:r>
                  <m:ctrlPr>
                    <w:rPr>
                      <w:rFonts w:ascii="Cambria Math" w:hAnsi="Cambria Math" w:eastAsia="Times New Roman" w:cs="Times New Roman"/>
                      <w:i/>
                      <w:sz w:val="20"/>
                      <w:szCs w:val="24"/>
                    </w:rPr>
                  </m:ctrlPr>
                </m:e>
                <m:sub>
                  <m:r>
                    <m:rPr>
                      <m:sty m:val="p"/>
                    </m:rPr>
                    <w:rPr>
                      <w:rFonts w:ascii="Cambria Math" w:hAnsi="Cambria Math" w:eastAsia="Times New Roman" w:cs="Times New Roman"/>
                      <w:sz w:val="20"/>
                      <w:szCs w:val="24"/>
                    </w:rPr>
                    <m:t>i пос</m:t>
                  </m:r>
                  <m:ctrlPr>
                    <w:rPr>
                      <w:rFonts w:ascii="Cambria Math" w:hAnsi="Cambria Math" w:eastAsia="Times New Roman" w:cs="Times New Roman"/>
                      <w:i/>
                      <w:sz w:val="20"/>
                      <w:szCs w:val="24"/>
                    </w:rPr>
                  </m:ctrlPr>
                </m:sub>
              </m:sSub>
              <m:ctrlPr>
                <w:rPr>
                  <w:rFonts w:ascii="Cambria Math" w:hAnsi="Cambria Math" w:eastAsia="Times New Roman" w:cs="Times New Roman"/>
                  <w:i/>
                  <w:sz w:val="20"/>
                  <w:szCs w:val="24"/>
                </w:rPr>
              </m:ctrlPr>
            </m:e>
          </m:nary>
          <m:r>
            <m:rPr/>
            <w:rPr>
              <w:rFonts w:ascii="Cambria Math" w:hAnsi="Cambria Math" w:eastAsia="Times New Roman" w:cs="Times New Roman"/>
              <w:sz w:val="20"/>
              <w:szCs w:val="24"/>
            </w:rPr>
            <m:t xml:space="preserve"> , где</m:t>
          </m:r>
          <m:r>
            <m:rPr/>
            <w:rPr>
              <w:rFonts w:ascii="Cambria Math" w:hAnsi="Cambria Math" w:eastAsia="Times New Roman" w:cs="Times New Roman"/>
              <w:sz w:val="20"/>
              <w:szCs w:val="24"/>
              <w:lang w:val="en-US"/>
            </w:rPr>
            <m:t>:</m:t>
          </m:r>
        </m:oMath>
      </m:oMathPara>
    </w:p>
    <w:p w14:paraId="74A31437">
      <w:pPr>
        <w:widowControl w:val="0"/>
        <w:autoSpaceDE w:val="0"/>
        <w:autoSpaceDN w:val="0"/>
        <w:spacing w:after="0" w:line="36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val="en-US" w:eastAsia="ru-RU"/>
        </w:rPr>
        <w:t>Q</w:t>
      </w:r>
      <w:r>
        <w:rPr>
          <w:rFonts w:ascii="Times New Roman" w:hAnsi="Times New Roman" w:eastAsia="Times New Roman" w:cs="Times New Roman"/>
          <w:sz w:val="28"/>
          <w:szCs w:val="28"/>
          <w:vertAlign w:val="subscript"/>
          <w:lang w:val="en-US" w:eastAsia="ru-RU"/>
        </w:rPr>
        <w:t>i</w:t>
      </w:r>
      <w:r>
        <w:rPr>
          <w:rFonts w:ascii="Times New Roman" w:hAnsi="Times New Roman" w:eastAsia="Times New Roman" w:cs="Times New Roman"/>
          <w:sz w:val="28"/>
          <w:szCs w:val="28"/>
          <w:lang w:eastAsia="ru-RU"/>
        </w:rPr>
        <w:t xml:space="preserve"> </w:t>
      </w:r>
      <w:r>
        <w:rPr>
          <w:rFonts w:ascii="Times New Roman" w:hAnsi="Times New Roman" w:eastAsia="Times New Roman" w:cs="Times New Roman"/>
          <w:sz w:val="28"/>
          <w:szCs w:val="28"/>
          <w:vertAlign w:val="subscript"/>
          <w:lang w:eastAsia="ru-RU"/>
        </w:rPr>
        <w:t xml:space="preserve">пос </w:t>
      </w:r>
      <w:r>
        <w:rPr>
          <w:rFonts w:ascii="Times New Roman" w:hAnsi="Times New Roman" w:eastAsia="Times New Roman" w:cs="Times New Roman"/>
          <w:sz w:val="28"/>
          <w:szCs w:val="28"/>
          <w:lang w:eastAsia="ru-RU"/>
        </w:rPr>
        <w:t>– количество i-х прочих основных средств;</w:t>
      </w:r>
    </w:p>
    <w:p w14:paraId="2F4B7140">
      <w:pPr>
        <w:widowControl w:val="0"/>
        <w:autoSpaceDE w:val="0"/>
        <w:autoSpaceDN w:val="0"/>
        <w:spacing w:after="0" w:line="36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val="en-US" w:eastAsia="ru-RU"/>
        </w:rPr>
        <w:t>P</w:t>
      </w:r>
      <w:r>
        <w:rPr>
          <w:rFonts w:ascii="Times New Roman" w:hAnsi="Times New Roman" w:eastAsia="Times New Roman" w:cs="Times New Roman"/>
          <w:sz w:val="28"/>
          <w:szCs w:val="28"/>
          <w:vertAlign w:val="subscript"/>
          <w:lang w:val="en-US" w:eastAsia="ru-RU"/>
        </w:rPr>
        <w:t>i</w:t>
      </w:r>
      <w:r>
        <w:rPr>
          <w:rFonts w:ascii="Times New Roman" w:hAnsi="Times New Roman" w:eastAsia="Times New Roman" w:cs="Times New Roman"/>
          <w:sz w:val="28"/>
          <w:szCs w:val="28"/>
          <w:lang w:eastAsia="ru-RU"/>
        </w:rPr>
        <w:t xml:space="preserve"> </w:t>
      </w:r>
      <w:r>
        <w:rPr>
          <w:rFonts w:ascii="Times New Roman" w:hAnsi="Times New Roman" w:eastAsia="Times New Roman" w:cs="Times New Roman"/>
          <w:sz w:val="28"/>
          <w:szCs w:val="28"/>
          <w:vertAlign w:val="subscript"/>
          <w:lang w:eastAsia="ru-RU"/>
        </w:rPr>
        <w:t>пос</w:t>
      </w:r>
      <w:r>
        <w:rPr>
          <w:rFonts w:ascii="Times New Roman" w:hAnsi="Times New Roman" w:eastAsia="Times New Roman" w:cs="Times New Roman"/>
          <w:sz w:val="28"/>
          <w:szCs w:val="28"/>
          <w:lang w:eastAsia="ru-RU"/>
        </w:rPr>
        <w:t xml:space="preserve"> – цена одного прочего основного средства.</w:t>
      </w:r>
    </w:p>
    <w:p w14:paraId="7C44740C">
      <w:pPr>
        <w:widowControl w:val="0"/>
        <w:autoSpaceDE w:val="0"/>
        <w:autoSpaceDN w:val="0"/>
        <w:spacing w:after="0" w:line="36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Расчет затрат на приобретение прочих основных средств производится в соответствии с нормативами согласно таблице №30.1.</w:t>
      </w:r>
    </w:p>
    <w:p w14:paraId="6924DB5B">
      <w:pPr>
        <w:widowControl w:val="0"/>
        <w:autoSpaceDE w:val="0"/>
        <w:autoSpaceDN w:val="0"/>
        <w:spacing w:after="0" w:line="360" w:lineRule="auto"/>
        <w:ind w:firstLine="709"/>
        <w:jc w:val="right"/>
        <w:rPr>
          <w:rFonts w:ascii="Times New Roman" w:hAnsi="Times New Roman" w:eastAsia="Times New Roman" w:cs="Times New Roman"/>
          <w:sz w:val="28"/>
          <w:szCs w:val="28"/>
          <w:lang w:eastAsia="ru-RU"/>
        </w:rPr>
      </w:pPr>
      <w:r>
        <w:rPr>
          <w:rFonts w:ascii="Times New Roman" w:hAnsi="Times New Roman" w:cs="Times New Roman"/>
          <w:sz w:val="28"/>
          <w:szCs w:val="28"/>
        </w:rPr>
        <w:t>Таблица №30.1</w:t>
      </w:r>
    </w:p>
    <w:tbl>
      <w:tblPr>
        <w:tblStyle w:val="41"/>
        <w:tblW w:w="976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4252"/>
        <w:gridCol w:w="2537"/>
        <w:gridCol w:w="2127"/>
      </w:tblGrid>
      <w:tr w14:paraId="1EC31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51" w:type="dxa"/>
            <w:vAlign w:val="center"/>
          </w:tcPr>
          <w:p w14:paraId="46001A95">
            <w:pPr>
              <w:autoSpaceDE w:val="0"/>
              <w:autoSpaceDN w:val="0"/>
              <w:adjustRightInd w:val="0"/>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п/п</w:t>
            </w:r>
          </w:p>
        </w:tc>
        <w:tc>
          <w:tcPr>
            <w:tcW w:w="4252" w:type="dxa"/>
            <w:vAlign w:val="center"/>
          </w:tcPr>
          <w:p w14:paraId="0D08AEE2">
            <w:pPr>
              <w:autoSpaceDE w:val="0"/>
              <w:autoSpaceDN w:val="0"/>
              <w:adjustRightInd w:val="0"/>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Тип основного средства</w:t>
            </w:r>
          </w:p>
        </w:tc>
        <w:tc>
          <w:tcPr>
            <w:tcW w:w="2537" w:type="dxa"/>
            <w:vAlign w:val="center"/>
          </w:tcPr>
          <w:p w14:paraId="2129C508">
            <w:pPr>
              <w:widowControl w:val="0"/>
              <w:autoSpaceDE w:val="0"/>
              <w:autoSpaceDN w:val="0"/>
              <w:adjustRightInd w:val="0"/>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Норматив количества</w:t>
            </w:r>
          </w:p>
          <w:p w14:paraId="5A788ED5">
            <w:pPr>
              <w:autoSpaceDE w:val="0"/>
              <w:autoSpaceDN w:val="0"/>
              <w:adjustRightInd w:val="0"/>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 год) штук</w:t>
            </w:r>
          </w:p>
        </w:tc>
        <w:tc>
          <w:tcPr>
            <w:tcW w:w="2127" w:type="dxa"/>
            <w:vAlign w:val="center"/>
          </w:tcPr>
          <w:p w14:paraId="5E0C73CB">
            <w:pPr>
              <w:autoSpaceDE w:val="0"/>
              <w:autoSpaceDN w:val="0"/>
              <w:adjustRightInd w:val="0"/>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Норматив цены за единицу (рублей)</w:t>
            </w:r>
          </w:p>
        </w:tc>
      </w:tr>
      <w:tr w14:paraId="1BD3A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51" w:type="dxa"/>
            <w:vAlign w:val="center"/>
          </w:tcPr>
          <w:p w14:paraId="3DE02FFB">
            <w:pPr>
              <w:autoSpaceDE w:val="0"/>
              <w:autoSpaceDN w:val="0"/>
              <w:adjustRightInd w:val="0"/>
              <w:spacing w:after="0" w:line="240" w:lineRule="auto"/>
              <w:jc w:val="center"/>
              <w:rPr>
                <w:rFonts w:ascii="Times New Roman" w:hAnsi="Times New Roman" w:eastAsia="Times New Roman" w:cs="Times New Roman"/>
                <w:bCs/>
                <w:color w:val="000000"/>
                <w:sz w:val="24"/>
                <w:szCs w:val="24"/>
                <w:lang w:eastAsia="en-US"/>
              </w:rPr>
            </w:pPr>
            <w:r>
              <w:rPr>
                <w:rFonts w:ascii="Times New Roman" w:hAnsi="Times New Roman" w:eastAsia="Times New Roman" w:cs="Times New Roman"/>
                <w:bCs/>
                <w:color w:val="000000"/>
                <w:sz w:val="24"/>
                <w:szCs w:val="24"/>
                <w:lang w:eastAsia="en-US"/>
              </w:rPr>
              <w:t>1</w:t>
            </w:r>
          </w:p>
        </w:tc>
        <w:tc>
          <w:tcPr>
            <w:tcW w:w="4252" w:type="dxa"/>
            <w:vAlign w:val="center"/>
          </w:tcPr>
          <w:p w14:paraId="5C9D8633">
            <w:pPr>
              <w:autoSpaceDE w:val="0"/>
              <w:autoSpaceDN w:val="0"/>
              <w:adjustRightInd w:val="0"/>
              <w:spacing w:after="0" w:line="240" w:lineRule="auto"/>
              <w:rPr>
                <w:rFonts w:ascii="Times New Roman" w:hAnsi="Times New Roman" w:eastAsia="Times New Roman" w:cs="Times New Roman"/>
                <w:bCs/>
                <w:color w:val="000000"/>
                <w:sz w:val="24"/>
                <w:szCs w:val="24"/>
                <w:lang w:eastAsia="en-US"/>
              </w:rPr>
            </w:pPr>
            <w:r>
              <w:rPr>
                <w:rFonts w:ascii="Times New Roman" w:hAnsi="Times New Roman" w:eastAsia="Times New Roman" w:cs="Times New Roman"/>
                <w:bCs/>
                <w:color w:val="000000"/>
                <w:sz w:val="24"/>
                <w:szCs w:val="24"/>
                <w:lang w:eastAsia="en-US"/>
              </w:rPr>
              <w:t xml:space="preserve">Баннер </w:t>
            </w:r>
          </w:p>
        </w:tc>
        <w:tc>
          <w:tcPr>
            <w:tcW w:w="2537" w:type="dxa"/>
            <w:vAlign w:val="center"/>
          </w:tcPr>
          <w:p w14:paraId="22324073">
            <w:pPr>
              <w:autoSpaceDE w:val="0"/>
              <w:autoSpaceDN w:val="0"/>
              <w:adjustRightInd w:val="0"/>
              <w:spacing w:after="0" w:line="240" w:lineRule="auto"/>
              <w:jc w:val="center"/>
              <w:rPr>
                <w:rFonts w:ascii="Times New Roman" w:hAnsi="Times New Roman" w:eastAsia="Times New Roman" w:cs="Times New Roman"/>
                <w:bCs/>
                <w:color w:val="000000"/>
                <w:sz w:val="24"/>
                <w:szCs w:val="24"/>
                <w:lang w:eastAsia="en-US"/>
              </w:rPr>
            </w:pPr>
            <w:r>
              <w:rPr>
                <w:rFonts w:ascii="Times New Roman" w:hAnsi="Times New Roman" w:eastAsia="Times New Roman" w:cs="Times New Roman"/>
                <w:bCs/>
                <w:color w:val="000000"/>
                <w:sz w:val="24"/>
                <w:szCs w:val="24"/>
                <w:lang w:eastAsia="en-US"/>
              </w:rPr>
              <w:t>не более 2</w:t>
            </w:r>
          </w:p>
        </w:tc>
        <w:tc>
          <w:tcPr>
            <w:tcW w:w="2127" w:type="dxa"/>
            <w:vAlign w:val="center"/>
          </w:tcPr>
          <w:p w14:paraId="7CDF4128">
            <w:pPr>
              <w:autoSpaceDE w:val="0"/>
              <w:autoSpaceDN w:val="0"/>
              <w:adjustRightInd w:val="0"/>
              <w:spacing w:after="0" w:line="240" w:lineRule="auto"/>
              <w:jc w:val="center"/>
              <w:rPr>
                <w:rFonts w:ascii="Times New Roman" w:hAnsi="Times New Roman" w:eastAsia="Times New Roman" w:cs="Times New Roman"/>
                <w:bCs/>
                <w:color w:val="000000"/>
                <w:sz w:val="24"/>
                <w:szCs w:val="24"/>
                <w:lang w:eastAsia="en-US"/>
              </w:rPr>
            </w:pPr>
            <w:r>
              <w:rPr>
                <w:rFonts w:ascii="Times New Roman" w:hAnsi="Times New Roman" w:eastAsia="Times New Roman" w:cs="Times New Roman"/>
                <w:bCs/>
                <w:color w:val="000000"/>
                <w:sz w:val="24"/>
                <w:szCs w:val="24"/>
                <w:lang w:eastAsia="en-US"/>
              </w:rPr>
              <w:t>не более 10 000,00</w:t>
            </w:r>
          </w:p>
        </w:tc>
      </w:tr>
      <w:tr w14:paraId="7126A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51" w:type="dxa"/>
            <w:vAlign w:val="center"/>
          </w:tcPr>
          <w:p w14:paraId="2D296607">
            <w:pPr>
              <w:autoSpaceDE w:val="0"/>
              <w:autoSpaceDN w:val="0"/>
              <w:adjustRightInd w:val="0"/>
              <w:spacing w:after="0" w:line="240" w:lineRule="auto"/>
              <w:jc w:val="center"/>
              <w:rPr>
                <w:rFonts w:ascii="Times New Roman" w:hAnsi="Times New Roman" w:eastAsia="Times New Roman" w:cs="Times New Roman"/>
                <w:bCs/>
                <w:color w:val="000000"/>
                <w:sz w:val="24"/>
                <w:szCs w:val="24"/>
                <w:lang w:eastAsia="ru-RU"/>
              </w:rPr>
            </w:pPr>
            <w:r>
              <w:rPr>
                <w:rFonts w:ascii="Times New Roman" w:hAnsi="Times New Roman" w:eastAsia="Times New Roman" w:cs="Times New Roman"/>
                <w:bCs/>
                <w:color w:val="000000"/>
                <w:sz w:val="24"/>
                <w:szCs w:val="24"/>
                <w:lang w:eastAsia="ru-RU"/>
              </w:rPr>
              <w:t>2</w:t>
            </w:r>
          </w:p>
        </w:tc>
        <w:tc>
          <w:tcPr>
            <w:tcW w:w="4252" w:type="dxa"/>
            <w:vAlign w:val="center"/>
          </w:tcPr>
          <w:p w14:paraId="283BF429">
            <w:pPr>
              <w:autoSpaceDE w:val="0"/>
              <w:autoSpaceDN w:val="0"/>
              <w:adjustRightInd w:val="0"/>
              <w:spacing w:after="0" w:line="240" w:lineRule="auto"/>
              <w:rPr>
                <w:rFonts w:ascii="Times New Roman" w:hAnsi="Times New Roman" w:eastAsia="Times New Roman" w:cs="Times New Roman"/>
                <w:bCs/>
                <w:color w:val="000000"/>
                <w:sz w:val="24"/>
                <w:szCs w:val="24"/>
                <w:lang w:eastAsia="ru-RU"/>
              </w:rPr>
            </w:pPr>
            <w:r>
              <w:rPr>
                <w:rFonts w:ascii="Times New Roman" w:hAnsi="Times New Roman" w:eastAsia="Times New Roman" w:cs="Times New Roman"/>
                <w:bCs/>
                <w:color w:val="000000"/>
                <w:sz w:val="24"/>
                <w:szCs w:val="24"/>
                <w:lang w:eastAsia="ru-RU"/>
              </w:rPr>
              <w:t>Пресс-волл (для подведомственного учреждения)</w:t>
            </w:r>
          </w:p>
        </w:tc>
        <w:tc>
          <w:tcPr>
            <w:tcW w:w="2537" w:type="dxa"/>
            <w:vAlign w:val="center"/>
          </w:tcPr>
          <w:p w14:paraId="1F1285AA">
            <w:pPr>
              <w:autoSpaceDE w:val="0"/>
              <w:autoSpaceDN w:val="0"/>
              <w:adjustRightInd w:val="0"/>
              <w:spacing w:after="0" w:line="240" w:lineRule="auto"/>
              <w:jc w:val="center"/>
              <w:rPr>
                <w:rFonts w:ascii="Times New Roman" w:hAnsi="Times New Roman" w:eastAsia="Times New Roman" w:cs="Times New Roman"/>
                <w:bCs/>
                <w:color w:val="000000"/>
                <w:sz w:val="24"/>
                <w:szCs w:val="24"/>
                <w:lang w:eastAsia="ru-RU"/>
              </w:rPr>
            </w:pPr>
            <w:r>
              <w:rPr>
                <w:rFonts w:ascii="Times New Roman" w:hAnsi="Times New Roman" w:eastAsia="Times New Roman" w:cs="Times New Roman"/>
                <w:bCs/>
                <w:color w:val="000000"/>
                <w:sz w:val="24"/>
                <w:szCs w:val="24"/>
                <w:lang w:eastAsia="ru-RU"/>
              </w:rPr>
              <w:t>не более 1</w:t>
            </w:r>
          </w:p>
        </w:tc>
        <w:tc>
          <w:tcPr>
            <w:tcW w:w="2127" w:type="dxa"/>
            <w:vAlign w:val="center"/>
          </w:tcPr>
          <w:p w14:paraId="249E8A26">
            <w:pPr>
              <w:autoSpaceDE w:val="0"/>
              <w:autoSpaceDN w:val="0"/>
              <w:adjustRightInd w:val="0"/>
              <w:spacing w:after="0" w:line="240" w:lineRule="auto"/>
              <w:jc w:val="center"/>
              <w:rPr>
                <w:rFonts w:ascii="Times New Roman" w:hAnsi="Times New Roman" w:eastAsia="Times New Roman" w:cs="Times New Roman"/>
                <w:bCs/>
                <w:color w:val="000000"/>
                <w:sz w:val="24"/>
                <w:szCs w:val="24"/>
                <w:lang w:eastAsia="ru-RU"/>
              </w:rPr>
            </w:pPr>
            <w:r>
              <w:rPr>
                <w:rFonts w:ascii="Times New Roman" w:hAnsi="Times New Roman" w:eastAsia="Times New Roman" w:cs="Times New Roman"/>
                <w:bCs/>
                <w:color w:val="000000"/>
                <w:sz w:val="24"/>
                <w:szCs w:val="24"/>
                <w:lang w:eastAsia="ru-RU"/>
              </w:rPr>
              <w:t>не более 20 000,00</w:t>
            </w:r>
          </w:p>
        </w:tc>
      </w:tr>
      <w:tr w14:paraId="7BC8B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51" w:type="dxa"/>
            <w:vAlign w:val="center"/>
          </w:tcPr>
          <w:p w14:paraId="212F7FDB">
            <w:pPr>
              <w:autoSpaceDE w:val="0"/>
              <w:autoSpaceDN w:val="0"/>
              <w:adjustRightInd w:val="0"/>
              <w:spacing w:after="0" w:line="240" w:lineRule="auto"/>
              <w:jc w:val="center"/>
              <w:rPr>
                <w:rFonts w:ascii="Times New Roman" w:hAnsi="Times New Roman" w:eastAsia="Times New Roman" w:cs="Times New Roman"/>
                <w:bCs/>
                <w:color w:val="000000"/>
                <w:sz w:val="24"/>
                <w:szCs w:val="24"/>
                <w:lang w:eastAsia="en-US"/>
              </w:rPr>
            </w:pPr>
            <w:r>
              <w:rPr>
                <w:rFonts w:ascii="Times New Roman" w:hAnsi="Times New Roman" w:eastAsia="Times New Roman" w:cs="Times New Roman"/>
                <w:bCs/>
                <w:color w:val="000000"/>
                <w:sz w:val="24"/>
                <w:szCs w:val="24"/>
                <w:lang w:eastAsia="en-US"/>
              </w:rPr>
              <w:t>3</w:t>
            </w:r>
          </w:p>
        </w:tc>
        <w:tc>
          <w:tcPr>
            <w:tcW w:w="4252" w:type="dxa"/>
            <w:vAlign w:val="center"/>
          </w:tcPr>
          <w:p w14:paraId="3648B034">
            <w:pPr>
              <w:autoSpaceDE w:val="0"/>
              <w:autoSpaceDN w:val="0"/>
              <w:adjustRightInd w:val="0"/>
              <w:spacing w:after="0" w:line="240" w:lineRule="auto"/>
              <w:rPr>
                <w:rFonts w:ascii="Times New Roman" w:hAnsi="Times New Roman" w:eastAsia="Times New Roman" w:cs="Times New Roman"/>
                <w:bCs/>
                <w:color w:val="000000"/>
                <w:sz w:val="24"/>
                <w:szCs w:val="24"/>
                <w:lang w:eastAsia="en-US"/>
              </w:rPr>
            </w:pPr>
            <w:r>
              <w:rPr>
                <w:rFonts w:ascii="Times New Roman" w:hAnsi="Times New Roman" w:eastAsia="Times New Roman" w:cs="Times New Roman"/>
                <w:bCs/>
                <w:color w:val="000000"/>
                <w:sz w:val="24"/>
                <w:szCs w:val="24"/>
                <w:lang w:eastAsia="en-US"/>
              </w:rPr>
              <w:t>Машинка для прошивки документов</w:t>
            </w:r>
          </w:p>
        </w:tc>
        <w:tc>
          <w:tcPr>
            <w:tcW w:w="2537" w:type="dxa"/>
            <w:vAlign w:val="center"/>
          </w:tcPr>
          <w:p w14:paraId="1D9C84D9">
            <w:pPr>
              <w:autoSpaceDE w:val="0"/>
              <w:autoSpaceDN w:val="0"/>
              <w:adjustRightInd w:val="0"/>
              <w:spacing w:after="0" w:line="240" w:lineRule="auto"/>
              <w:jc w:val="center"/>
              <w:rPr>
                <w:rFonts w:ascii="Times New Roman" w:hAnsi="Times New Roman" w:eastAsia="Times New Roman" w:cs="Times New Roman"/>
                <w:bCs/>
                <w:color w:val="000000"/>
                <w:sz w:val="24"/>
                <w:szCs w:val="24"/>
                <w:lang w:eastAsia="en-US"/>
              </w:rPr>
            </w:pPr>
            <w:r>
              <w:rPr>
                <w:rFonts w:ascii="Times New Roman" w:hAnsi="Times New Roman" w:eastAsia="Times New Roman" w:cs="Times New Roman"/>
                <w:bCs/>
                <w:color w:val="000000"/>
                <w:sz w:val="24"/>
                <w:szCs w:val="24"/>
                <w:lang w:eastAsia="en-US"/>
              </w:rPr>
              <w:t xml:space="preserve">не более 1 </w:t>
            </w:r>
          </w:p>
        </w:tc>
        <w:tc>
          <w:tcPr>
            <w:tcW w:w="2127" w:type="dxa"/>
            <w:vAlign w:val="center"/>
          </w:tcPr>
          <w:p w14:paraId="18A13706">
            <w:pPr>
              <w:autoSpaceDE w:val="0"/>
              <w:autoSpaceDN w:val="0"/>
              <w:adjustRightInd w:val="0"/>
              <w:spacing w:after="0" w:line="240" w:lineRule="auto"/>
              <w:jc w:val="center"/>
              <w:rPr>
                <w:rFonts w:ascii="Times New Roman" w:hAnsi="Times New Roman" w:eastAsia="Times New Roman" w:cs="Times New Roman"/>
                <w:bCs/>
                <w:color w:val="000000"/>
                <w:sz w:val="24"/>
                <w:szCs w:val="24"/>
                <w:lang w:eastAsia="en-US"/>
              </w:rPr>
            </w:pPr>
            <w:r>
              <w:rPr>
                <w:rFonts w:ascii="Times New Roman" w:hAnsi="Times New Roman" w:eastAsia="Times New Roman" w:cs="Times New Roman"/>
                <w:bCs/>
                <w:color w:val="000000"/>
                <w:sz w:val="24"/>
                <w:szCs w:val="24"/>
                <w:lang w:eastAsia="en-US"/>
              </w:rPr>
              <w:t>не более 10 000,00</w:t>
            </w:r>
          </w:p>
        </w:tc>
      </w:tr>
      <w:tr w14:paraId="20E5A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51" w:type="dxa"/>
            <w:vAlign w:val="center"/>
          </w:tcPr>
          <w:p w14:paraId="23A7C358">
            <w:pPr>
              <w:autoSpaceDE w:val="0"/>
              <w:autoSpaceDN w:val="0"/>
              <w:adjustRightInd w:val="0"/>
              <w:spacing w:after="0" w:line="240" w:lineRule="auto"/>
              <w:jc w:val="center"/>
              <w:rPr>
                <w:rFonts w:ascii="Times New Roman" w:hAnsi="Times New Roman" w:eastAsia="Times New Roman" w:cs="Times New Roman"/>
                <w:bCs/>
                <w:color w:val="000000"/>
                <w:sz w:val="24"/>
                <w:szCs w:val="24"/>
                <w:lang w:eastAsia="en-US"/>
              </w:rPr>
            </w:pPr>
            <w:r>
              <w:rPr>
                <w:rFonts w:ascii="Times New Roman" w:hAnsi="Times New Roman" w:eastAsia="Times New Roman" w:cs="Times New Roman"/>
                <w:bCs/>
                <w:color w:val="000000"/>
                <w:sz w:val="24"/>
                <w:szCs w:val="24"/>
                <w:lang w:eastAsia="en-US"/>
              </w:rPr>
              <w:t>3</w:t>
            </w:r>
          </w:p>
        </w:tc>
        <w:tc>
          <w:tcPr>
            <w:tcW w:w="4252" w:type="dxa"/>
            <w:vAlign w:val="center"/>
          </w:tcPr>
          <w:p w14:paraId="75FDCD53">
            <w:pPr>
              <w:autoSpaceDE w:val="0"/>
              <w:autoSpaceDN w:val="0"/>
              <w:adjustRightInd w:val="0"/>
              <w:spacing w:after="0" w:line="240" w:lineRule="auto"/>
              <w:rPr>
                <w:rFonts w:ascii="Times New Roman" w:hAnsi="Times New Roman" w:eastAsia="Times New Roman" w:cs="Times New Roman"/>
                <w:bCs/>
                <w:color w:val="000000"/>
                <w:sz w:val="24"/>
                <w:szCs w:val="24"/>
                <w:lang w:eastAsia="en-US"/>
              </w:rPr>
            </w:pPr>
            <w:r>
              <w:rPr>
                <w:rFonts w:ascii="Times New Roman" w:hAnsi="Times New Roman" w:eastAsia="Times New Roman" w:cs="Times New Roman"/>
                <w:bCs/>
                <w:color w:val="000000"/>
                <w:sz w:val="24"/>
                <w:szCs w:val="24"/>
                <w:lang w:eastAsia="en-US"/>
              </w:rPr>
              <w:t xml:space="preserve">Лампа </w:t>
            </w:r>
          </w:p>
        </w:tc>
        <w:tc>
          <w:tcPr>
            <w:tcW w:w="2537" w:type="dxa"/>
            <w:vAlign w:val="center"/>
          </w:tcPr>
          <w:p w14:paraId="24BAD87F">
            <w:pPr>
              <w:autoSpaceDE w:val="0"/>
              <w:autoSpaceDN w:val="0"/>
              <w:adjustRightInd w:val="0"/>
              <w:spacing w:after="0" w:line="240" w:lineRule="auto"/>
              <w:jc w:val="center"/>
              <w:rPr>
                <w:rFonts w:ascii="Times New Roman" w:hAnsi="Times New Roman" w:eastAsia="Times New Roman" w:cs="Times New Roman"/>
                <w:bCs/>
                <w:color w:val="000000"/>
                <w:sz w:val="24"/>
                <w:szCs w:val="24"/>
                <w:lang w:eastAsia="en-US"/>
              </w:rPr>
            </w:pPr>
            <w:r>
              <w:rPr>
                <w:rFonts w:ascii="Times New Roman" w:hAnsi="Times New Roman" w:eastAsia="Times New Roman" w:cs="Times New Roman"/>
                <w:bCs/>
                <w:color w:val="000000"/>
                <w:sz w:val="24"/>
                <w:szCs w:val="24"/>
                <w:lang w:eastAsia="en-US"/>
              </w:rPr>
              <w:t xml:space="preserve">не более 2 </w:t>
            </w:r>
          </w:p>
        </w:tc>
        <w:tc>
          <w:tcPr>
            <w:tcW w:w="2127" w:type="dxa"/>
            <w:vAlign w:val="center"/>
          </w:tcPr>
          <w:p w14:paraId="2F1056FB">
            <w:pPr>
              <w:autoSpaceDE w:val="0"/>
              <w:autoSpaceDN w:val="0"/>
              <w:adjustRightInd w:val="0"/>
              <w:spacing w:after="0" w:line="240" w:lineRule="auto"/>
              <w:jc w:val="center"/>
              <w:rPr>
                <w:rFonts w:ascii="Times New Roman" w:hAnsi="Times New Roman" w:eastAsia="Times New Roman" w:cs="Times New Roman"/>
                <w:bCs/>
                <w:color w:val="000000"/>
                <w:sz w:val="24"/>
                <w:szCs w:val="24"/>
                <w:lang w:eastAsia="en-US"/>
              </w:rPr>
            </w:pPr>
            <w:r>
              <w:rPr>
                <w:rFonts w:ascii="Times New Roman" w:hAnsi="Times New Roman" w:eastAsia="Times New Roman" w:cs="Times New Roman"/>
                <w:bCs/>
                <w:color w:val="000000"/>
                <w:sz w:val="24"/>
                <w:szCs w:val="24"/>
                <w:lang w:eastAsia="en-US"/>
              </w:rPr>
              <w:t>не более 3 000,00</w:t>
            </w:r>
          </w:p>
        </w:tc>
      </w:tr>
      <w:tr w14:paraId="02412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51" w:type="dxa"/>
            <w:vAlign w:val="center"/>
          </w:tcPr>
          <w:p w14:paraId="160F967A">
            <w:pPr>
              <w:autoSpaceDE w:val="0"/>
              <w:autoSpaceDN w:val="0"/>
              <w:adjustRightInd w:val="0"/>
              <w:spacing w:after="0" w:line="240" w:lineRule="auto"/>
              <w:jc w:val="center"/>
              <w:rPr>
                <w:rFonts w:ascii="Times New Roman" w:hAnsi="Times New Roman" w:eastAsia="Times New Roman" w:cs="Times New Roman"/>
                <w:bCs/>
                <w:color w:val="000000"/>
                <w:sz w:val="24"/>
                <w:szCs w:val="24"/>
                <w:lang w:eastAsia="en-US"/>
              </w:rPr>
            </w:pPr>
            <w:r>
              <w:rPr>
                <w:rFonts w:ascii="Times New Roman" w:hAnsi="Times New Roman" w:eastAsia="Times New Roman" w:cs="Times New Roman"/>
                <w:bCs/>
                <w:color w:val="000000"/>
                <w:sz w:val="24"/>
                <w:szCs w:val="24"/>
                <w:lang w:eastAsia="en-US"/>
              </w:rPr>
              <w:t>4</w:t>
            </w:r>
          </w:p>
        </w:tc>
        <w:tc>
          <w:tcPr>
            <w:tcW w:w="4252" w:type="dxa"/>
            <w:vAlign w:val="center"/>
          </w:tcPr>
          <w:p w14:paraId="6F0C78AB">
            <w:pPr>
              <w:autoSpaceDE w:val="0"/>
              <w:autoSpaceDN w:val="0"/>
              <w:adjustRightInd w:val="0"/>
              <w:spacing w:after="0" w:line="240" w:lineRule="auto"/>
              <w:rPr>
                <w:rFonts w:ascii="Times New Roman" w:hAnsi="Times New Roman" w:eastAsia="Times New Roman" w:cs="Times New Roman"/>
                <w:bCs/>
                <w:color w:val="000000"/>
                <w:sz w:val="24"/>
                <w:szCs w:val="24"/>
                <w:lang w:eastAsia="en-US"/>
              </w:rPr>
            </w:pPr>
            <w:r>
              <w:rPr>
                <w:rFonts w:ascii="Times New Roman" w:hAnsi="Times New Roman" w:eastAsia="Times New Roman" w:cs="Times New Roman"/>
                <w:bCs/>
                <w:color w:val="000000"/>
                <w:sz w:val="24"/>
                <w:szCs w:val="24"/>
                <w:lang w:eastAsia="en-US"/>
              </w:rPr>
              <w:t>Чайник</w:t>
            </w:r>
          </w:p>
        </w:tc>
        <w:tc>
          <w:tcPr>
            <w:tcW w:w="2537" w:type="dxa"/>
            <w:vAlign w:val="center"/>
          </w:tcPr>
          <w:p w14:paraId="4C7E3AB8">
            <w:pPr>
              <w:autoSpaceDE w:val="0"/>
              <w:autoSpaceDN w:val="0"/>
              <w:adjustRightInd w:val="0"/>
              <w:spacing w:after="0" w:line="240" w:lineRule="auto"/>
              <w:jc w:val="center"/>
              <w:rPr>
                <w:rFonts w:ascii="Times New Roman" w:hAnsi="Times New Roman" w:eastAsia="Times New Roman" w:cs="Times New Roman"/>
                <w:bCs/>
                <w:color w:val="000000"/>
                <w:sz w:val="24"/>
                <w:szCs w:val="24"/>
                <w:lang w:eastAsia="en-US"/>
              </w:rPr>
            </w:pPr>
            <w:r>
              <w:rPr>
                <w:rFonts w:ascii="Times New Roman" w:hAnsi="Times New Roman" w:eastAsia="Times New Roman" w:cs="Times New Roman"/>
                <w:bCs/>
                <w:color w:val="000000"/>
                <w:sz w:val="24"/>
                <w:szCs w:val="24"/>
                <w:lang w:eastAsia="en-US"/>
              </w:rPr>
              <w:t xml:space="preserve">не более 2 </w:t>
            </w:r>
          </w:p>
        </w:tc>
        <w:tc>
          <w:tcPr>
            <w:tcW w:w="2127" w:type="dxa"/>
            <w:vAlign w:val="center"/>
          </w:tcPr>
          <w:p w14:paraId="219F95C3">
            <w:pPr>
              <w:autoSpaceDE w:val="0"/>
              <w:autoSpaceDN w:val="0"/>
              <w:adjustRightInd w:val="0"/>
              <w:spacing w:after="0" w:line="240" w:lineRule="auto"/>
              <w:jc w:val="center"/>
              <w:rPr>
                <w:rFonts w:ascii="Times New Roman" w:hAnsi="Times New Roman" w:eastAsia="Times New Roman" w:cs="Times New Roman"/>
                <w:bCs/>
                <w:color w:val="000000"/>
                <w:sz w:val="24"/>
                <w:szCs w:val="24"/>
                <w:lang w:eastAsia="en-US"/>
              </w:rPr>
            </w:pPr>
            <w:r>
              <w:rPr>
                <w:rFonts w:ascii="Times New Roman" w:hAnsi="Times New Roman" w:eastAsia="Times New Roman" w:cs="Times New Roman"/>
                <w:bCs/>
                <w:color w:val="000000"/>
                <w:sz w:val="24"/>
                <w:szCs w:val="24"/>
                <w:lang w:eastAsia="en-US"/>
              </w:rPr>
              <w:t>не более 5 000,00</w:t>
            </w:r>
          </w:p>
        </w:tc>
      </w:tr>
      <w:tr w14:paraId="42B35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51" w:type="dxa"/>
            <w:vAlign w:val="center"/>
          </w:tcPr>
          <w:p w14:paraId="3EC8BB65">
            <w:pPr>
              <w:autoSpaceDE w:val="0"/>
              <w:autoSpaceDN w:val="0"/>
              <w:adjustRightInd w:val="0"/>
              <w:spacing w:after="0" w:line="240" w:lineRule="auto"/>
              <w:jc w:val="center"/>
              <w:rPr>
                <w:rFonts w:ascii="Times New Roman" w:hAnsi="Times New Roman" w:eastAsia="Times New Roman" w:cs="Times New Roman"/>
                <w:bCs/>
                <w:color w:val="000000"/>
                <w:sz w:val="24"/>
                <w:szCs w:val="24"/>
                <w:lang w:eastAsia="en-US"/>
              </w:rPr>
            </w:pPr>
            <w:r>
              <w:rPr>
                <w:rFonts w:ascii="Times New Roman" w:hAnsi="Times New Roman" w:eastAsia="Times New Roman" w:cs="Times New Roman"/>
                <w:bCs/>
                <w:color w:val="000000"/>
                <w:sz w:val="24"/>
                <w:szCs w:val="24"/>
                <w:lang w:eastAsia="en-US"/>
              </w:rPr>
              <w:t>5</w:t>
            </w:r>
          </w:p>
        </w:tc>
        <w:tc>
          <w:tcPr>
            <w:tcW w:w="4252" w:type="dxa"/>
            <w:vAlign w:val="center"/>
          </w:tcPr>
          <w:p w14:paraId="35C9E098">
            <w:pPr>
              <w:autoSpaceDE w:val="0"/>
              <w:autoSpaceDN w:val="0"/>
              <w:adjustRightInd w:val="0"/>
              <w:spacing w:after="0" w:line="240" w:lineRule="auto"/>
              <w:rPr>
                <w:rFonts w:ascii="Times New Roman" w:hAnsi="Times New Roman" w:eastAsia="Times New Roman" w:cs="Times New Roman"/>
                <w:bCs/>
                <w:color w:val="000000"/>
                <w:sz w:val="24"/>
                <w:szCs w:val="24"/>
                <w:lang w:eastAsia="en-US"/>
              </w:rPr>
            </w:pPr>
            <w:r>
              <w:rPr>
                <w:rFonts w:ascii="Times New Roman" w:hAnsi="Times New Roman" w:eastAsia="Times New Roman" w:cs="Times New Roman"/>
                <w:bCs/>
                <w:color w:val="000000"/>
                <w:sz w:val="24"/>
                <w:szCs w:val="24"/>
                <w:lang w:eastAsia="en-US"/>
              </w:rPr>
              <w:t>Вентилятор</w:t>
            </w:r>
          </w:p>
        </w:tc>
        <w:tc>
          <w:tcPr>
            <w:tcW w:w="2537" w:type="dxa"/>
            <w:vAlign w:val="center"/>
          </w:tcPr>
          <w:p w14:paraId="1CB9E4F6">
            <w:pPr>
              <w:autoSpaceDE w:val="0"/>
              <w:autoSpaceDN w:val="0"/>
              <w:adjustRightInd w:val="0"/>
              <w:spacing w:after="0" w:line="240" w:lineRule="auto"/>
              <w:jc w:val="center"/>
              <w:rPr>
                <w:rFonts w:ascii="Times New Roman" w:hAnsi="Times New Roman" w:eastAsia="Times New Roman" w:cs="Times New Roman"/>
                <w:bCs/>
                <w:color w:val="000000"/>
                <w:sz w:val="24"/>
                <w:szCs w:val="24"/>
                <w:lang w:eastAsia="en-US"/>
              </w:rPr>
            </w:pPr>
            <w:r>
              <w:rPr>
                <w:rFonts w:ascii="Times New Roman" w:hAnsi="Times New Roman" w:eastAsia="Times New Roman" w:cs="Times New Roman"/>
                <w:bCs/>
                <w:color w:val="000000"/>
                <w:sz w:val="24"/>
                <w:szCs w:val="24"/>
                <w:lang w:eastAsia="en-US"/>
              </w:rPr>
              <w:t xml:space="preserve">не более 2 </w:t>
            </w:r>
          </w:p>
        </w:tc>
        <w:tc>
          <w:tcPr>
            <w:tcW w:w="2127" w:type="dxa"/>
            <w:vAlign w:val="center"/>
          </w:tcPr>
          <w:p w14:paraId="22917E9F">
            <w:pPr>
              <w:autoSpaceDE w:val="0"/>
              <w:autoSpaceDN w:val="0"/>
              <w:adjustRightInd w:val="0"/>
              <w:spacing w:after="0" w:line="240" w:lineRule="auto"/>
              <w:jc w:val="center"/>
              <w:rPr>
                <w:rFonts w:ascii="Times New Roman" w:hAnsi="Times New Roman" w:eastAsia="Times New Roman" w:cs="Times New Roman"/>
                <w:bCs/>
                <w:color w:val="000000"/>
                <w:sz w:val="24"/>
                <w:szCs w:val="24"/>
                <w:lang w:eastAsia="en-US"/>
              </w:rPr>
            </w:pPr>
            <w:r>
              <w:rPr>
                <w:rFonts w:ascii="Times New Roman" w:hAnsi="Times New Roman" w:eastAsia="Times New Roman" w:cs="Times New Roman"/>
                <w:bCs/>
                <w:color w:val="000000"/>
                <w:sz w:val="24"/>
                <w:szCs w:val="24"/>
                <w:lang w:eastAsia="en-US"/>
              </w:rPr>
              <w:t>не более 6 000,00</w:t>
            </w:r>
          </w:p>
        </w:tc>
      </w:tr>
      <w:tr w14:paraId="53F99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51" w:type="dxa"/>
            <w:vAlign w:val="center"/>
          </w:tcPr>
          <w:p w14:paraId="15DEF09B">
            <w:pPr>
              <w:autoSpaceDE w:val="0"/>
              <w:autoSpaceDN w:val="0"/>
              <w:adjustRightInd w:val="0"/>
              <w:spacing w:after="0" w:line="240" w:lineRule="auto"/>
              <w:jc w:val="center"/>
              <w:rPr>
                <w:rFonts w:ascii="Times New Roman" w:hAnsi="Times New Roman" w:eastAsia="Times New Roman" w:cs="Times New Roman"/>
                <w:bCs/>
                <w:color w:val="000000"/>
                <w:sz w:val="24"/>
                <w:szCs w:val="24"/>
                <w:lang w:eastAsia="en-US"/>
              </w:rPr>
            </w:pPr>
            <w:r>
              <w:rPr>
                <w:rFonts w:ascii="Times New Roman" w:hAnsi="Times New Roman" w:eastAsia="Times New Roman" w:cs="Times New Roman"/>
                <w:bCs/>
                <w:color w:val="000000"/>
                <w:sz w:val="24"/>
                <w:szCs w:val="24"/>
                <w:lang w:eastAsia="en-US"/>
              </w:rPr>
              <w:t>6</w:t>
            </w:r>
          </w:p>
        </w:tc>
        <w:tc>
          <w:tcPr>
            <w:tcW w:w="4252" w:type="dxa"/>
            <w:vAlign w:val="center"/>
          </w:tcPr>
          <w:p w14:paraId="24C1261A">
            <w:pPr>
              <w:autoSpaceDE w:val="0"/>
              <w:autoSpaceDN w:val="0"/>
              <w:adjustRightInd w:val="0"/>
              <w:spacing w:after="0" w:line="240" w:lineRule="auto"/>
              <w:rPr>
                <w:rFonts w:ascii="Times New Roman" w:hAnsi="Times New Roman" w:eastAsia="Times New Roman" w:cs="Times New Roman"/>
                <w:bCs/>
                <w:color w:val="000000"/>
                <w:sz w:val="24"/>
                <w:szCs w:val="24"/>
                <w:lang w:eastAsia="en-US"/>
              </w:rPr>
            </w:pPr>
            <w:r>
              <w:rPr>
                <w:rFonts w:ascii="Times New Roman" w:hAnsi="Times New Roman" w:eastAsia="Times New Roman" w:cs="Times New Roman"/>
                <w:bCs/>
                <w:color w:val="000000"/>
                <w:sz w:val="24"/>
                <w:szCs w:val="24"/>
                <w:lang w:eastAsia="en-US"/>
              </w:rPr>
              <w:t>Телефонный аппарат (для руководителя, зам. руководителя)</w:t>
            </w:r>
          </w:p>
        </w:tc>
        <w:tc>
          <w:tcPr>
            <w:tcW w:w="2537" w:type="dxa"/>
            <w:vAlign w:val="center"/>
          </w:tcPr>
          <w:p w14:paraId="20DF8B57">
            <w:pPr>
              <w:autoSpaceDE w:val="0"/>
              <w:autoSpaceDN w:val="0"/>
              <w:adjustRightInd w:val="0"/>
              <w:spacing w:after="0" w:line="240" w:lineRule="auto"/>
              <w:jc w:val="center"/>
              <w:rPr>
                <w:rFonts w:ascii="Times New Roman" w:hAnsi="Times New Roman" w:eastAsia="Times New Roman" w:cs="Times New Roman"/>
                <w:bCs/>
                <w:color w:val="000000"/>
                <w:sz w:val="24"/>
                <w:szCs w:val="24"/>
                <w:lang w:eastAsia="en-US"/>
              </w:rPr>
            </w:pPr>
            <w:r>
              <w:rPr>
                <w:rFonts w:ascii="Times New Roman" w:hAnsi="Times New Roman" w:eastAsia="Times New Roman" w:cs="Times New Roman"/>
                <w:bCs/>
                <w:color w:val="000000"/>
                <w:sz w:val="24"/>
                <w:szCs w:val="24"/>
                <w:lang w:eastAsia="en-US"/>
              </w:rPr>
              <w:t xml:space="preserve">не более 1 </w:t>
            </w:r>
          </w:p>
        </w:tc>
        <w:tc>
          <w:tcPr>
            <w:tcW w:w="2127" w:type="dxa"/>
            <w:vAlign w:val="center"/>
          </w:tcPr>
          <w:p w14:paraId="3AF13E8E">
            <w:pPr>
              <w:autoSpaceDE w:val="0"/>
              <w:autoSpaceDN w:val="0"/>
              <w:adjustRightInd w:val="0"/>
              <w:spacing w:after="0" w:line="240" w:lineRule="auto"/>
              <w:jc w:val="center"/>
              <w:rPr>
                <w:rFonts w:ascii="Times New Roman" w:hAnsi="Times New Roman" w:eastAsia="Times New Roman" w:cs="Times New Roman"/>
                <w:bCs/>
                <w:color w:val="000000"/>
                <w:sz w:val="24"/>
                <w:szCs w:val="24"/>
                <w:lang w:eastAsia="en-US"/>
              </w:rPr>
            </w:pPr>
            <w:r>
              <w:rPr>
                <w:rFonts w:ascii="Times New Roman" w:hAnsi="Times New Roman" w:eastAsia="Times New Roman" w:cs="Times New Roman"/>
                <w:bCs/>
                <w:color w:val="000000"/>
                <w:sz w:val="24"/>
                <w:szCs w:val="24"/>
                <w:lang w:eastAsia="en-US"/>
              </w:rPr>
              <w:t>не более 5 000,00</w:t>
            </w:r>
          </w:p>
        </w:tc>
      </w:tr>
      <w:tr w14:paraId="76BBF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51" w:type="dxa"/>
            <w:vAlign w:val="center"/>
          </w:tcPr>
          <w:p w14:paraId="3ABC0A09">
            <w:pPr>
              <w:autoSpaceDE w:val="0"/>
              <w:autoSpaceDN w:val="0"/>
              <w:adjustRightInd w:val="0"/>
              <w:spacing w:after="0" w:line="240" w:lineRule="auto"/>
              <w:jc w:val="center"/>
              <w:rPr>
                <w:rFonts w:ascii="Times New Roman" w:hAnsi="Times New Roman" w:eastAsia="Times New Roman" w:cs="Times New Roman"/>
                <w:bCs/>
                <w:color w:val="000000"/>
                <w:sz w:val="24"/>
                <w:szCs w:val="24"/>
                <w:lang w:eastAsia="ru-RU"/>
              </w:rPr>
            </w:pPr>
            <w:r>
              <w:rPr>
                <w:rFonts w:ascii="Times New Roman" w:hAnsi="Times New Roman" w:eastAsia="Times New Roman" w:cs="Times New Roman"/>
                <w:bCs/>
                <w:color w:val="000000"/>
                <w:sz w:val="24"/>
                <w:szCs w:val="24"/>
                <w:lang w:eastAsia="ru-RU"/>
              </w:rPr>
              <w:t>7</w:t>
            </w:r>
          </w:p>
        </w:tc>
        <w:tc>
          <w:tcPr>
            <w:tcW w:w="4252" w:type="dxa"/>
            <w:vAlign w:val="center"/>
          </w:tcPr>
          <w:p w14:paraId="5AD9BC28">
            <w:pPr>
              <w:autoSpaceDE w:val="0"/>
              <w:autoSpaceDN w:val="0"/>
              <w:adjustRightInd w:val="0"/>
              <w:spacing w:after="0" w:line="240" w:lineRule="auto"/>
              <w:rPr>
                <w:rFonts w:ascii="Times New Roman" w:hAnsi="Times New Roman" w:eastAsia="Times New Roman" w:cs="Times New Roman"/>
                <w:bCs/>
                <w:color w:val="000000"/>
                <w:sz w:val="24"/>
                <w:szCs w:val="24"/>
                <w:lang w:eastAsia="ru-RU"/>
              </w:rPr>
            </w:pPr>
            <w:r>
              <w:rPr>
                <w:rFonts w:ascii="Times New Roman" w:hAnsi="Times New Roman" w:eastAsia="Times New Roman" w:cs="Times New Roman"/>
                <w:bCs/>
                <w:color w:val="000000"/>
                <w:sz w:val="24"/>
                <w:szCs w:val="24"/>
                <w:lang w:eastAsia="ru-RU"/>
              </w:rPr>
              <w:t>Телефонный аппарат</w:t>
            </w:r>
          </w:p>
        </w:tc>
        <w:tc>
          <w:tcPr>
            <w:tcW w:w="2537" w:type="dxa"/>
            <w:vAlign w:val="center"/>
          </w:tcPr>
          <w:p w14:paraId="6E142FE8">
            <w:pPr>
              <w:autoSpaceDE w:val="0"/>
              <w:autoSpaceDN w:val="0"/>
              <w:adjustRightInd w:val="0"/>
              <w:spacing w:after="0" w:line="240" w:lineRule="auto"/>
              <w:jc w:val="center"/>
              <w:rPr>
                <w:rFonts w:ascii="Times New Roman" w:hAnsi="Times New Roman" w:eastAsia="Times New Roman" w:cs="Times New Roman"/>
                <w:bCs/>
                <w:color w:val="000000"/>
                <w:sz w:val="24"/>
                <w:szCs w:val="24"/>
                <w:lang w:eastAsia="ru-RU"/>
              </w:rPr>
            </w:pPr>
            <w:r>
              <w:rPr>
                <w:rFonts w:ascii="Times New Roman" w:hAnsi="Times New Roman" w:eastAsia="Times New Roman" w:cs="Times New Roman"/>
                <w:bCs/>
                <w:color w:val="000000"/>
                <w:sz w:val="24"/>
                <w:szCs w:val="24"/>
                <w:lang w:eastAsia="ru-RU"/>
              </w:rPr>
              <w:t>не более 1</w:t>
            </w:r>
          </w:p>
        </w:tc>
        <w:tc>
          <w:tcPr>
            <w:tcW w:w="2127" w:type="dxa"/>
            <w:vAlign w:val="center"/>
          </w:tcPr>
          <w:p w14:paraId="177ECE45">
            <w:pPr>
              <w:autoSpaceDE w:val="0"/>
              <w:autoSpaceDN w:val="0"/>
              <w:adjustRightInd w:val="0"/>
              <w:spacing w:after="0" w:line="240" w:lineRule="auto"/>
              <w:jc w:val="center"/>
              <w:rPr>
                <w:rFonts w:ascii="Times New Roman" w:hAnsi="Times New Roman" w:eastAsia="Times New Roman" w:cs="Times New Roman"/>
                <w:bCs/>
                <w:color w:val="000000"/>
                <w:sz w:val="24"/>
                <w:szCs w:val="24"/>
                <w:lang w:eastAsia="ru-RU"/>
              </w:rPr>
            </w:pPr>
            <w:r>
              <w:rPr>
                <w:rFonts w:ascii="Times New Roman" w:hAnsi="Times New Roman" w:eastAsia="Times New Roman" w:cs="Times New Roman"/>
                <w:bCs/>
                <w:color w:val="000000"/>
                <w:sz w:val="24"/>
                <w:szCs w:val="24"/>
                <w:lang w:eastAsia="ru-RU"/>
              </w:rPr>
              <w:t>не более 3 000,00</w:t>
            </w:r>
          </w:p>
        </w:tc>
      </w:tr>
      <w:tr w14:paraId="6A970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51" w:type="dxa"/>
            <w:vAlign w:val="center"/>
          </w:tcPr>
          <w:p w14:paraId="01AE08FC">
            <w:pPr>
              <w:autoSpaceDE w:val="0"/>
              <w:autoSpaceDN w:val="0"/>
              <w:adjustRightInd w:val="0"/>
              <w:spacing w:after="0" w:line="240" w:lineRule="auto"/>
              <w:jc w:val="center"/>
              <w:rPr>
                <w:rFonts w:ascii="Times New Roman" w:hAnsi="Times New Roman" w:eastAsia="Times New Roman" w:cs="Times New Roman"/>
                <w:bCs/>
                <w:color w:val="000000"/>
                <w:sz w:val="24"/>
                <w:szCs w:val="24"/>
                <w:lang w:eastAsia="ru-RU"/>
              </w:rPr>
            </w:pPr>
            <w:r>
              <w:rPr>
                <w:rFonts w:ascii="Times New Roman" w:hAnsi="Times New Roman" w:eastAsia="Times New Roman" w:cs="Times New Roman"/>
                <w:bCs/>
                <w:color w:val="000000"/>
                <w:sz w:val="24"/>
                <w:szCs w:val="24"/>
                <w:lang w:eastAsia="ru-RU"/>
              </w:rPr>
              <w:t>8.</w:t>
            </w:r>
          </w:p>
        </w:tc>
        <w:tc>
          <w:tcPr>
            <w:tcW w:w="4252" w:type="dxa"/>
            <w:vAlign w:val="center"/>
          </w:tcPr>
          <w:p w14:paraId="0C9B60F9">
            <w:pPr>
              <w:autoSpaceDE w:val="0"/>
              <w:autoSpaceDN w:val="0"/>
              <w:adjustRightInd w:val="0"/>
              <w:spacing w:after="0" w:line="240" w:lineRule="auto"/>
              <w:rPr>
                <w:rFonts w:ascii="Times New Roman" w:hAnsi="Times New Roman" w:eastAsia="Times New Roman" w:cs="Times New Roman"/>
                <w:bCs/>
                <w:color w:val="000000"/>
                <w:sz w:val="24"/>
                <w:szCs w:val="24"/>
                <w:lang w:eastAsia="ru-RU"/>
              </w:rPr>
            </w:pPr>
            <w:r>
              <w:rPr>
                <w:rFonts w:ascii="Times New Roman" w:hAnsi="Times New Roman" w:eastAsia="Times New Roman" w:cs="Times New Roman"/>
                <w:bCs/>
                <w:color w:val="000000"/>
                <w:sz w:val="24"/>
                <w:szCs w:val="24"/>
                <w:lang w:eastAsia="ru-RU"/>
              </w:rPr>
              <w:t>Микшерный пульт</w:t>
            </w:r>
          </w:p>
        </w:tc>
        <w:tc>
          <w:tcPr>
            <w:tcW w:w="2537" w:type="dxa"/>
            <w:vAlign w:val="center"/>
          </w:tcPr>
          <w:p w14:paraId="3FE3F77E">
            <w:pPr>
              <w:autoSpaceDE w:val="0"/>
              <w:autoSpaceDN w:val="0"/>
              <w:adjustRightInd w:val="0"/>
              <w:spacing w:after="0" w:line="240" w:lineRule="auto"/>
              <w:jc w:val="center"/>
              <w:rPr>
                <w:rFonts w:ascii="Times New Roman" w:hAnsi="Times New Roman" w:eastAsia="Times New Roman" w:cs="Times New Roman"/>
                <w:bCs/>
                <w:color w:val="000000"/>
                <w:sz w:val="24"/>
                <w:szCs w:val="24"/>
                <w:lang w:eastAsia="ru-RU"/>
              </w:rPr>
            </w:pPr>
            <w:r>
              <w:rPr>
                <w:rFonts w:ascii="Times New Roman" w:hAnsi="Times New Roman" w:eastAsia="Times New Roman" w:cs="Times New Roman"/>
                <w:bCs/>
                <w:color w:val="000000"/>
                <w:sz w:val="24"/>
                <w:szCs w:val="24"/>
                <w:lang w:eastAsia="ru-RU"/>
              </w:rPr>
              <w:t>не менее 1</w:t>
            </w:r>
          </w:p>
        </w:tc>
        <w:tc>
          <w:tcPr>
            <w:tcW w:w="2127" w:type="dxa"/>
            <w:vAlign w:val="center"/>
          </w:tcPr>
          <w:p w14:paraId="279A6EBD">
            <w:pPr>
              <w:autoSpaceDE w:val="0"/>
              <w:autoSpaceDN w:val="0"/>
              <w:adjustRightInd w:val="0"/>
              <w:spacing w:after="0" w:line="240" w:lineRule="auto"/>
              <w:jc w:val="center"/>
              <w:rPr>
                <w:rFonts w:ascii="Times New Roman" w:hAnsi="Times New Roman" w:eastAsia="Times New Roman" w:cs="Times New Roman"/>
                <w:bCs/>
                <w:color w:val="000000"/>
                <w:sz w:val="24"/>
                <w:szCs w:val="24"/>
                <w:lang w:eastAsia="ru-RU"/>
              </w:rPr>
            </w:pPr>
            <w:r>
              <w:rPr>
                <w:rFonts w:ascii="Times New Roman" w:hAnsi="Times New Roman" w:eastAsia="Times New Roman" w:cs="Times New Roman"/>
                <w:bCs/>
                <w:color w:val="000000"/>
                <w:sz w:val="24"/>
                <w:szCs w:val="24"/>
                <w:lang w:eastAsia="ru-RU"/>
              </w:rPr>
              <w:t xml:space="preserve"> не более 50 000,00</w:t>
            </w:r>
          </w:p>
        </w:tc>
      </w:tr>
      <w:tr w14:paraId="43983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51" w:type="dxa"/>
            <w:vAlign w:val="center"/>
          </w:tcPr>
          <w:p w14:paraId="7FCD6C52">
            <w:pPr>
              <w:autoSpaceDE w:val="0"/>
              <w:autoSpaceDN w:val="0"/>
              <w:adjustRightInd w:val="0"/>
              <w:spacing w:after="0" w:line="240" w:lineRule="auto"/>
              <w:jc w:val="center"/>
              <w:rPr>
                <w:rFonts w:ascii="Times New Roman" w:hAnsi="Times New Roman" w:eastAsia="Times New Roman" w:cs="Times New Roman"/>
                <w:bCs/>
                <w:color w:val="000000"/>
                <w:sz w:val="24"/>
                <w:szCs w:val="24"/>
                <w:lang w:eastAsia="ru-RU"/>
              </w:rPr>
            </w:pPr>
            <w:r>
              <w:rPr>
                <w:rFonts w:ascii="Times New Roman" w:hAnsi="Times New Roman" w:eastAsia="Times New Roman" w:cs="Times New Roman"/>
                <w:bCs/>
                <w:color w:val="000000"/>
                <w:sz w:val="24"/>
                <w:szCs w:val="24"/>
                <w:lang w:eastAsia="ru-RU"/>
              </w:rPr>
              <w:t>9.</w:t>
            </w:r>
          </w:p>
        </w:tc>
        <w:tc>
          <w:tcPr>
            <w:tcW w:w="4252" w:type="dxa"/>
            <w:vAlign w:val="center"/>
          </w:tcPr>
          <w:p w14:paraId="06C190A3">
            <w:pPr>
              <w:autoSpaceDE w:val="0"/>
              <w:autoSpaceDN w:val="0"/>
              <w:adjustRightInd w:val="0"/>
              <w:spacing w:after="0" w:line="240" w:lineRule="auto"/>
              <w:rPr>
                <w:rFonts w:ascii="Times New Roman" w:hAnsi="Times New Roman" w:eastAsia="Times New Roman" w:cs="Times New Roman"/>
                <w:bCs/>
                <w:color w:val="000000"/>
                <w:sz w:val="24"/>
                <w:szCs w:val="24"/>
                <w:lang w:eastAsia="ru-RU"/>
              </w:rPr>
            </w:pPr>
            <w:r>
              <w:rPr>
                <w:rFonts w:ascii="Times New Roman" w:hAnsi="Times New Roman" w:eastAsia="Times New Roman" w:cs="Times New Roman"/>
                <w:bCs/>
                <w:color w:val="000000"/>
                <w:sz w:val="24"/>
                <w:szCs w:val="24"/>
                <w:lang w:eastAsia="ru-RU"/>
              </w:rPr>
              <w:t>Видеомикшер</w:t>
            </w:r>
          </w:p>
        </w:tc>
        <w:tc>
          <w:tcPr>
            <w:tcW w:w="2537" w:type="dxa"/>
            <w:vAlign w:val="center"/>
          </w:tcPr>
          <w:p w14:paraId="4AD660A8">
            <w:pPr>
              <w:autoSpaceDE w:val="0"/>
              <w:autoSpaceDN w:val="0"/>
              <w:adjustRightInd w:val="0"/>
              <w:spacing w:after="0" w:line="240" w:lineRule="auto"/>
              <w:jc w:val="center"/>
              <w:rPr>
                <w:rFonts w:ascii="Times New Roman" w:hAnsi="Times New Roman" w:eastAsia="Times New Roman" w:cs="Times New Roman"/>
                <w:bCs/>
                <w:color w:val="000000"/>
                <w:sz w:val="24"/>
                <w:szCs w:val="24"/>
                <w:lang w:eastAsia="ru-RU"/>
              </w:rPr>
            </w:pPr>
            <w:r>
              <w:rPr>
                <w:rFonts w:ascii="Times New Roman" w:hAnsi="Times New Roman" w:eastAsia="Times New Roman" w:cs="Times New Roman"/>
                <w:bCs/>
                <w:color w:val="000000"/>
                <w:sz w:val="24"/>
                <w:szCs w:val="24"/>
                <w:lang w:eastAsia="ru-RU"/>
              </w:rPr>
              <w:t>не менее 1</w:t>
            </w:r>
          </w:p>
        </w:tc>
        <w:tc>
          <w:tcPr>
            <w:tcW w:w="2127" w:type="dxa"/>
            <w:vAlign w:val="center"/>
          </w:tcPr>
          <w:p w14:paraId="1D46E3A7">
            <w:pPr>
              <w:autoSpaceDE w:val="0"/>
              <w:autoSpaceDN w:val="0"/>
              <w:adjustRightInd w:val="0"/>
              <w:spacing w:after="0" w:line="240" w:lineRule="auto"/>
              <w:jc w:val="center"/>
              <w:rPr>
                <w:rFonts w:ascii="Times New Roman" w:hAnsi="Times New Roman" w:eastAsia="Times New Roman" w:cs="Times New Roman"/>
                <w:bCs/>
                <w:color w:val="000000"/>
                <w:sz w:val="24"/>
                <w:szCs w:val="24"/>
                <w:lang w:eastAsia="ru-RU"/>
              </w:rPr>
            </w:pPr>
            <w:r>
              <w:rPr>
                <w:rFonts w:ascii="Times New Roman" w:hAnsi="Times New Roman" w:eastAsia="Times New Roman" w:cs="Times New Roman"/>
                <w:bCs/>
                <w:color w:val="000000"/>
                <w:sz w:val="24"/>
                <w:szCs w:val="24"/>
                <w:lang w:eastAsia="ru-RU"/>
              </w:rPr>
              <w:t>не более 120 000,00</w:t>
            </w:r>
          </w:p>
        </w:tc>
      </w:tr>
      <w:tr w14:paraId="1A3E5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51" w:type="dxa"/>
            <w:vAlign w:val="center"/>
          </w:tcPr>
          <w:p w14:paraId="1CB37D62">
            <w:pPr>
              <w:autoSpaceDE w:val="0"/>
              <w:autoSpaceDN w:val="0"/>
              <w:adjustRightInd w:val="0"/>
              <w:spacing w:after="0" w:line="240" w:lineRule="auto"/>
              <w:jc w:val="center"/>
              <w:rPr>
                <w:rFonts w:ascii="Times New Roman" w:hAnsi="Times New Roman" w:eastAsia="Times New Roman" w:cs="Times New Roman"/>
                <w:bCs/>
                <w:color w:val="000000"/>
                <w:sz w:val="24"/>
                <w:szCs w:val="24"/>
                <w:lang w:eastAsia="ru-RU"/>
              </w:rPr>
            </w:pPr>
            <w:r>
              <w:rPr>
                <w:rFonts w:ascii="Times New Roman" w:hAnsi="Times New Roman" w:eastAsia="Times New Roman" w:cs="Times New Roman"/>
                <w:bCs/>
                <w:color w:val="000000"/>
                <w:sz w:val="24"/>
                <w:szCs w:val="24"/>
                <w:lang w:eastAsia="ru-RU"/>
              </w:rPr>
              <w:t xml:space="preserve">10. </w:t>
            </w:r>
          </w:p>
        </w:tc>
        <w:tc>
          <w:tcPr>
            <w:tcW w:w="4252" w:type="dxa"/>
            <w:vAlign w:val="center"/>
          </w:tcPr>
          <w:p w14:paraId="2CDDE328">
            <w:pPr>
              <w:autoSpaceDE w:val="0"/>
              <w:autoSpaceDN w:val="0"/>
              <w:adjustRightInd w:val="0"/>
              <w:spacing w:after="0" w:line="240" w:lineRule="auto"/>
              <w:rPr>
                <w:rFonts w:ascii="Times New Roman" w:hAnsi="Times New Roman" w:eastAsia="Times New Roman" w:cs="Times New Roman"/>
                <w:bCs/>
                <w:color w:val="000000"/>
                <w:sz w:val="24"/>
                <w:szCs w:val="24"/>
                <w:lang w:eastAsia="ru-RU"/>
              </w:rPr>
            </w:pPr>
            <w:r>
              <w:rPr>
                <w:rFonts w:ascii="Times New Roman" w:hAnsi="Times New Roman" w:eastAsia="Times New Roman" w:cs="Times New Roman"/>
                <w:bCs/>
                <w:color w:val="000000"/>
                <w:sz w:val="24"/>
                <w:szCs w:val="24"/>
                <w:lang w:eastAsia="ru-RU"/>
              </w:rPr>
              <w:t>Радиосистема (в комплекте)</w:t>
            </w:r>
          </w:p>
        </w:tc>
        <w:tc>
          <w:tcPr>
            <w:tcW w:w="2537" w:type="dxa"/>
            <w:vAlign w:val="center"/>
          </w:tcPr>
          <w:p w14:paraId="5760451B">
            <w:pPr>
              <w:autoSpaceDE w:val="0"/>
              <w:autoSpaceDN w:val="0"/>
              <w:adjustRightInd w:val="0"/>
              <w:spacing w:after="0" w:line="240" w:lineRule="auto"/>
              <w:jc w:val="center"/>
              <w:rPr>
                <w:rFonts w:ascii="Times New Roman" w:hAnsi="Times New Roman" w:eastAsia="Times New Roman" w:cs="Times New Roman"/>
                <w:bCs/>
                <w:color w:val="000000"/>
                <w:sz w:val="24"/>
                <w:szCs w:val="24"/>
                <w:lang w:eastAsia="ru-RU"/>
              </w:rPr>
            </w:pPr>
            <w:r>
              <w:rPr>
                <w:rFonts w:ascii="Times New Roman" w:hAnsi="Times New Roman" w:eastAsia="Times New Roman" w:cs="Times New Roman"/>
                <w:bCs/>
                <w:color w:val="000000"/>
                <w:sz w:val="24"/>
                <w:szCs w:val="24"/>
                <w:lang w:eastAsia="ru-RU"/>
              </w:rPr>
              <w:t>не более 10</w:t>
            </w:r>
          </w:p>
        </w:tc>
        <w:tc>
          <w:tcPr>
            <w:tcW w:w="2127" w:type="dxa"/>
            <w:vAlign w:val="center"/>
          </w:tcPr>
          <w:p w14:paraId="2347F2E7">
            <w:pPr>
              <w:autoSpaceDE w:val="0"/>
              <w:autoSpaceDN w:val="0"/>
              <w:adjustRightInd w:val="0"/>
              <w:spacing w:after="0" w:line="240" w:lineRule="auto"/>
              <w:jc w:val="center"/>
              <w:rPr>
                <w:rFonts w:ascii="Times New Roman" w:hAnsi="Times New Roman" w:eastAsia="Times New Roman" w:cs="Times New Roman"/>
                <w:bCs/>
                <w:color w:val="000000"/>
                <w:sz w:val="24"/>
                <w:szCs w:val="24"/>
                <w:lang w:eastAsia="ru-RU"/>
              </w:rPr>
            </w:pPr>
            <w:r>
              <w:rPr>
                <w:rFonts w:ascii="Times New Roman" w:hAnsi="Times New Roman" w:eastAsia="Times New Roman" w:cs="Times New Roman"/>
                <w:bCs/>
                <w:color w:val="000000"/>
                <w:sz w:val="24"/>
                <w:szCs w:val="24"/>
                <w:lang w:eastAsia="ru-RU"/>
              </w:rPr>
              <w:t xml:space="preserve">Не более 50 000,00 </w:t>
            </w:r>
          </w:p>
        </w:tc>
      </w:tr>
      <w:tr w14:paraId="755C7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51" w:type="dxa"/>
            <w:vAlign w:val="center"/>
          </w:tcPr>
          <w:p w14:paraId="787176BB">
            <w:pPr>
              <w:autoSpaceDE w:val="0"/>
              <w:autoSpaceDN w:val="0"/>
              <w:adjustRightInd w:val="0"/>
              <w:spacing w:after="0" w:line="240" w:lineRule="auto"/>
              <w:jc w:val="center"/>
              <w:rPr>
                <w:rFonts w:ascii="Times New Roman" w:hAnsi="Times New Roman" w:eastAsia="Times New Roman" w:cs="Times New Roman"/>
                <w:bCs/>
                <w:color w:val="000000"/>
                <w:sz w:val="24"/>
                <w:szCs w:val="24"/>
                <w:lang w:eastAsia="ru-RU"/>
              </w:rPr>
            </w:pPr>
            <w:r>
              <w:rPr>
                <w:rFonts w:ascii="Times New Roman" w:hAnsi="Times New Roman" w:eastAsia="Times New Roman" w:cs="Times New Roman"/>
                <w:bCs/>
                <w:color w:val="000000"/>
                <w:sz w:val="24"/>
                <w:szCs w:val="24"/>
                <w:lang w:eastAsia="ru-RU"/>
              </w:rPr>
              <w:t>11.</w:t>
            </w:r>
          </w:p>
        </w:tc>
        <w:tc>
          <w:tcPr>
            <w:tcW w:w="4252" w:type="dxa"/>
            <w:vAlign w:val="center"/>
          </w:tcPr>
          <w:p w14:paraId="33E4DCDE">
            <w:pPr>
              <w:autoSpaceDE w:val="0"/>
              <w:autoSpaceDN w:val="0"/>
              <w:adjustRightInd w:val="0"/>
              <w:spacing w:after="0" w:line="240" w:lineRule="auto"/>
              <w:rPr>
                <w:rFonts w:ascii="Times New Roman" w:hAnsi="Times New Roman" w:eastAsia="Times New Roman" w:cs="Times New Roman"/>
                <w:bCs/>
                <w:color w:val="000000"/>
                <w:sz w:val="24"/>
                <w:szCs w:val="24"/>
                <w:lang w:eastAsia="ru-RU"/>
              </w:rPr>
            </w:pPr>
            <w:r>
              <w:rPr>
                <w:rFonts w:ascii="Times New Roman" w:hAnsi="Times New Roman" w:eastAsia="Times New Roman" w:cs="Times New Roman"/>
                <w:bCs/>
                <w:color w:val="000000"/>
                <w:sz w:val="24"/>
                <w:szCs w:val="24"/>
                <w:lang w:eastAsia="ru-RU"/>
              </w:rPr>
              <w:t>Аудиосистема (в комплекте)</w:t>
            </w:r>
          </w:p>
        </w:tc>
        <w:tc>
          <w:tcPr>
            <w:tcW w:w="2537" w:type="dxa"/>
            <w:vAlign w:val="center"/>
          </w:tcPr>
          <w:p w14:paraId="6DFA1114">
            <w:pPr>
              <w:autoSpaceDE w:val="0"/>
              <w:autoSpaceDN w:val="0"/>
              <w:adjustRightInd w:val="0"/>
              <w:spacing w:after="0" w:line="240" w:lineRule="auto"/>
              <w:jc w:val="center"/>
              <w:rPr>
                <w:rFonts w:ascii="Times New Roman" w:hAnsi="Times New Roman" w:eastAsia="Times New Roman" w:cs="Times New Roman"/>
                <w:bCs/>
                <w:color w:val="000000"/>
                <w:sz w:val="24"/>
                <w:szCs w:val="24"/>
                <w:lang w:eastAsia="ru-RU"/>
              </w:rPr>
            </w:pPr>
            <w:r>
              <w:rPr>
                <w:rFonts w:ascii="Times New Roman" w:hAnsi="Times New Roman" w:eastAsia="Times New Roman" w:cs="Times New Roman"/>
                <w:bCs/>
                <w:color w:val="000000"/>
                <w:sz w:val="24"/>
                <w:szCs w:val="24"/>
                <w:lang w:eastAsia="ru-RU"/>
              </w:rPr>
              <w:t>не более 3</w:t>
            </w:r>
          </w:p>
        </w:tc>
        <w:tc>
          <w:tcPr>
            <w:tcW w:w="2127" w:type="dxa"/>
            <w:vAlign w:val="center"/>
          </w:tcPr>
          <w:p w14:paraId="2D6E23B4">
            <w:pPr>
              <w:autoSpaceDE w:val="0"/>
              <w:autoSpaceDN w:val="0"/>
              <w:adjustRightInd w:val="0"/>
              <w:spacing w:after="0" w:line="240" w:lineRule="auto"/>
              <w:jc w:val="center"/>
              <w:rPr>
                <w:rFonts w:ascii="Times New Roman" w:hAnsi="Times New Roman" w:eastAsia="Times New Roman" w:cs="Times New Roman"/>
                <w:bCs/>
                <w:color w:val="000000"/>
                <w:sz w:val="24"/>
                <w:szCs w:val="24"/>
                <w:lang w:eastAsia="ru-RU"/>
              </w:rPr>
            </w:pPr>
            <w:r>
              <w:rPr>
                <w:rFonts w:ascii="Times New Roman" w:hAnsi="Times New Roman" w:eastAsia="Times New Roman" w:cs="Times New Roman"/>
                <w:bCs/>
                <w:color w:val="000000"/>
                <w:sz w:val="24"/>
                <w:szCs w:val="24"/>
                <w:lang w:eastAsia="ru-RU"/>
              </w:rPr>
              <w:t>не более 150 000,00</w:t>
            </w:r>
          </w:p>
        </w:tc>
      </w:tr>
      <w:tr w14:paraId="394F3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51" w:type="dxa"/>
            <w:vAlign w:val="center"/>
          </w:tcPr>
          <w:p w14:paraId="1023121C">
            <w:pPr>
              <w:autoSpaceDE w:val="0"/>
              <w:autoSpaceDN w:val="0"/>
              <w:adjustRightInd w:val="0"/>
              <w:spacing w:after="0" w:line="240" w:lineRule="auto"/>
              <w:jc w:val="center"/>
              <w:rPr>
                <w:rFonts w:ascii="Times New Roman" w:hAnsi="Times New Roman" w:eastAsia="Times New Roman" w:cs="Times New Roman"/>
                <w:bCs/>
                <w:color w:val="000000"/>
                <w:sz w:val="24"/>
                <w:szCs w:val="24"/>
                <w:lang w:eastAsia="ru-RU"/>
              </w:rPr>
            </w:pPr>
            <w:r>
              <w:rPr>
                <w:rFonts w:ascii="Times New Roman" w:hAnsi="Times New Roman" w:eastAsia="Times New Roman" w:cs="Times New Roman"/>
                <w:bCs/>
                <w:color w:val="000000"/>
                <w:sz w:val="24"/>
                <w:szCs w:val="24"/>
                <w:lang w:eastAsia="ru-RU"/>
              </w:rPr>
              <w:t>12.</w:t>
            </w:r>
          </w:p>
        </w:tc>
        <w:tc>
          <w:tcPr>
            <w:tcW w:w="4252" w:type="dxa"/>
            <w:vAlign w:val="center"/>
          </w:tcPr>
          <w:p w14:paraId="2C7A7BA3">
            <w:pPr>
              <w:autoSpaceDE w:val="0"/>
              <w:autoSpaceDN w:val="0"/>
              <w:adjustRightInd w:val="0"/>
              <w:spacing w:after="0" w:line="240" w:lineRule="auto"/>
              <w:rPr>
                <w:rFonts w:ascii="Times New Roman" w:hAnsi="Times New Roman" w:eastAsia="Times New Roman" w:cs="Times New Roman"/>
                <w:bCs/>
                <w:color w:val="000000"/>
                <w:sz w:val="24"/>
                <w:szCs w:val="24"/>
                <w:lang w:eastAsia="ru-RU"/>
              </w:rPr>
            </w:pPr>
            <w:r>
              <w:rPr>
                <w:rFonts w:ascii="Times New Roman" w:hAnsi="Times New Roman" w:eastAsia="Times New Roman" w:cs="Times New Roman"/>
                <w:bCs/>
                <w:color w:val="000000"/>
                <w:sz w:val="24"/>
                <w:szCs w:val="24"/>
                <w:lang w:eastAsia="ru-RU"/>
              </w:rPr>
              <w:t>Шкаф телекоммуникационный</w:t>
            </w:r>
          </w:p>
        </w:tc>
        <w:tc>
          <w:tcPr>
            <w:tcW w:w="2537" w:type="dxa"/>
            <w:vAlign w:val="center"/>
          </w:tcPr>
          <w:p w14:paraId="71E5F048">
            <w:pPr>
              <w:autoSpaceDE w:val="0"/>
              <w:autoSpaceDN w:val="0"/>
              <w:adjustRightInd w:val="0"/>
              <w:spacing w:after="0" w:line="240" w:lineRule="auto"/>
              <w:jc w:val="center"/>
              <w:rPr>
                <w:rFonts w:ascii="Times New Roman" w:hAnsi="Times New Roman" w:eastAsia="Times New Roman" w:cs="Times New Roman"/>
                <w:bCs/>
                <w:color w:val="000000"/>
                <w:sz w:val="24"/>
                <w:szCs w:val="24"/>
                <w:lang w:eastAsia="ru-RU"/>
              </w:rPr>
            </w:pPr>
            <w:r>
              <w:rPr>
                <w:rFonts w:ascii="Times New Roman" w:hAnsi="Times New Roman" w:eastAsia="Times New Roman" w:cs="Times New Roman"/>
                <w:bCs/>
                <w:color w:val="000000"/>
                <w:sz w:val="24"/>
                <w:szCs w:val="24"/>
                <w:lang w:eastAsia="ru-RU"/>
              </w:rPr>
              <w:t>не менее   10</w:t>
            </w:r>
          </w:p>
        </w:tc>
        <w:tc>
          <w:tcPr>
            <w:tcW w:w="2127" w:type="dxa"/>
            <w:vAlign w:val="center"/>
          </w:tcPr>
          <w:p w14:paraId="1D3FF2B8">
            <w:pPr>
              <w:autoSpaceDE w:val="0"/>
              <w:autoSpaceDN w:val="0"/>
              <w:adjustRightInd w:val="0"/>
              <w:spacing w:after="0" w:line="240" w:lineRule="auto"/>
              <w:jc w:val="center"/>
              <w:rPr>
                <w:rFonts w:ascii="Times New Roman" w:hAnsi="Times New Roman" w:eastAsia="Times New Roman" w:cs="Times New Roman"/>
                <w:bCs/>
                <w:color w:val="000000"/>
                <w:sz w:val="24"/>
                <w:szCs w:val="24"/>
                <w:lang w:eastAsia="ru-RU"/>
              </w:rPr>
            </w:pPr>
            <w:r>
              <w:rPr>
                <w:rFonts w:ascii="Times New Roman" w:hAnsi="Times New Roman" w:eastAsia="Times New Roman" w:cs="Times New Roman"/>
                <w:bCs/>
                <w:color w:val="000000"/>
                <w:sz w:val="24"/>
                <w:szCs w:val="24"/>
                <w:lang w:eastAsia="ru-RU"/>
              </w:rPr>
              <w:t>не более 20 000,00</w:t>
            </w:r>
          </w:p>
        </w:tc>
      </w:tr>
      <w:tr w14:paraId="74F07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51" w:type="dxa"/>
            <w:vAlign w:val="center"/>
          </w:tcPr>
          <w:p w14:paraId="7A7802BE">
            <w:pPr>
              <w:autoSpaceDE w:val="0"/>
              <w:autoSpaceDN w:val="0"/>
              <w:adjustRightInd w:val="0"/>
              <w:spacing w:after="0" w:line="240" w:lineRule="auto"/>
              <w:jc w:val="center"/>
              <w:rPr>
                <w:rFonts w:ascii="Times New Roman" w:hAnsi="Times New Roman" w:eastAsia="Times New Roman" w:cs="Times New Roman"/>
                <w:bCs/>
                <w:color w:val="000000"/>
                <w:sz w:val="24"/>
                <w:szCs w:val="24"/>
                <w:lang w:eastAsia="ru-RU"/>
              </w:rPr>
            </w:pPr>
            <w:r>
              <w:rPr>
                <w:rFonts w:ascii="Times New Roman" w:hAnsi="Times New Roman" w:eastAsia="Times New Roman" w:cs="Times New Roman"/>
                <w:bCs/>
                <w:color w:val="000000"/>
                <w:sz w:val="24"/>
                <w:szCs w:val="24"/>
                <w:lang w:eastAsia="ru-RU"/>
              </w:rPr>
              <w:t>13.</w:t>
            </w:r>
          </w:p>
        </w:tc>
        <w:tc>
          <w:tcPr>
            <w:tcW w:w="4252" w:type="dxa"/>
            <w:vAlign w:val="center"/>
          </w:tcPr>
          <w:p w14:paraId="690E33D3">
            <w:pPr>
              <w:autoSpaceDE w:val="0"/>
              <w:autoSpaceDN w:val="0"/>
              <w:adjustRightInd w:val="0"/>
              <w:spacing w:after="0" w:line="240" w:lineRule="auto"/>
              <w:rPr>
                <w:rFonts w:ascii="Times New Roman" w:hAnsi="Times New Roman" w:eastAsia="Times New Roman" w:cs="Times New Roman"/>
                <w:bCs/>
                <w:color w:val="000000"/>
                <w:sz w:val="24"/>
                <w:szCs w:val="24"/>
                <w:lang w:eastAsia="ru-RU"/>
              </w:rPr>
            </w:pPr>
            <w:r>
              <w:rPr>
                <w:rFonts w:ascii="Times New Roman" w:hAnsi="Times New Roman" w:eastAsia="Times New Roman" w:cs="Times New Roman"/>
                <w:bCs/>
                <w:color w:val="000000"/>
                <w:sz w:val="24"/>
                <w:szCs w:val="24"/>
                <w:lang w:eastAsia="ru-RU"/>
              </w:rPr>
              <w:t xml:space="preserve">Стойка для камеры </w:t>
            </w:r>
          </w:p>
        </w:tc>
        <w:tc>
          <w:tcPr>
            <w:tcW w:w="2537" w:type="dxa"/>
            <w:vAlign w:val="center"/>
          </w:tcPr>
          <w:p w14:paraId="60E708C8">
            <w:pPr>
              <w:autoSpaceDE w:val="0"/>
              <w:autoSpaceDN w:val="0"/>
              <w:adjustRightInd w:val="0"/>
              <w:spacing w:after="0" w:line="240" w:lineRule="auto"/>
              <w:jc w:val="center"/>
              <w:rPr>
                <w:rFonts w:ascii="Times New Roman" w:hAnsi="Times New Roman" w:eastAsia="Times New Roman" w:cs="Times New Roman"/>
                <w:bCs/>
                <w:color w:val="000000"/>
                <w:sz w:val="24"/>
                <w:szCs w:val="24"/>
                <w:lang w:eastAsia="ru-RU"/>
              </w:rPr>
            </w:pPr>
            <w:r>
              <w:rPr>
                <w:rFonts w:ascii="Times New Roman" w:hAnsi="Times New Roman" w:eastAsia="Times New Roman" w:cs="Times New Roman"/>
                <w:bCs/>
                <w:color w:val="000000"/>
                <w:sz w:val="24"/>
                <w:szCs w:val="24"/>
                <w:lang w:eastAsia="ru-RU"/>
              </w:rPr>
              <w:t>не менее 1</w:t>
            </w:r>
          </w:p>
        </w:tc>
        <w:tc>
          <w:tcPr>
            <w:tcW w:w="2127" w:type="dxa"/>
            <w:vAlign w:val="center"/>
          </w:tcPr>
          <w:p w14:paraId="1A48C669">
            <w:pPr>
              <w:autoSpaceDE w:val="0"/>
              <w:autoSpaceDN w:val="0"/>
              <w:adjustRightInd w:val="0"/>
              <w:spacing w:after="0" w:line="240" w:lineRule="auto"/>
              <w:jc w:val="center"/>
              <w:rPr>
                <w:rFonts w:ascii="Times New Roman" w:hAnsi="Times New Roman" w:eastAsia="Times New Roman" w:cs="Times New Roman"/>
                <w:bCs/>
                <w:color w:val="000000"/>
                <w:sz w:val="24"/>
                <w:szCs w:val="24"/>
                <w:lang w:eastAsia="ru-RU"/>
              </w:rPr>
            </w:pPr>
            <w:r>
              <w:rPr>
                <w:rFonts w:ascii="Times New Roman" w:hAnsi="Times New Roman" w:eastAsia="Times New Roman" w:cs="Times New Roman"/>
                <w:bCs/>
                <w:color w:val="000000"/>
                <w:sz w:val="24"/>
                <w:szCs w:val="24"/>
                <w:lang w:eastAsia="ru-RU"/>
              </w:rPr>
              <w:t>не более 20 000,00</w:t>
            </w:r>
          </w:p>
        </w:tc>
      </w:tr>
      <w:tr w14:paraId="10427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51" w:type="dxa"/>
            <w:vAlign w:val="center"/>
          </w:tcPr>
          <w:p w14:paraId="6B2907EA">
            <w:pPr>
              <w:autoSpaceDE w:val="0"/>
              <w:autoSpaceDN w:val="0"/>
              <w:adjustRightInd w:val="0"/>
              <w:spacing w:after="0" w:line="240" w:lineRule="auto"/>
              <w:jc w:val="center"/>
              <w:rPr>
                <w:rFonts w:hint="default" w:ascii="Times New Roman" w:hAnsi="Times New Roman" w:eastAsia="Times New Roman" w:cs="Times New Roman"/>
                <w:bCs/>
                <w:color w:val="000000"/>
                <w:sz w:val="24"/>
                <w:szCs w:val="24"/>
                <w:lang w:val="en-US" w:eastAsia="ru-RU"/>
              </w:rPr>
            </w:pPr>
            <w:r>
              <w:rPr>
                <w:rFonts w:hint="default" w:ascii="Times New Roman" w:hAnsi="Times New Roman" w:eastAsia="Times New Roman" w:cs="Times New Roman"/>
                <w:bCs/>
                <w:color w:val="000000"/>
                <w:sz w:val="24"/>
                <w:szCs w:val="24"/>
                <w:lang w:val="en-US" w:eastAsia="ru-RU"/>
              </w:rPr>
              <w:t>14.</w:t>
            </w:r>
          </w:p>
        </w:tc>
        <w:tc>
          <w:tcPr>
            <w:tcW w:w="4252" w:type="dxa"/>
            <w:vAlign w:val="center"/>
          </w:tcPr>
          <w:p w14:paraId="2546B165">
            <w:pPr>
              <w:autoSpaceDE w:val="0"/>
              <w:autoSpaceDN w:val="0"/>
              <w:adjustRightInd w:val="0"/>
              <w:spacing w:after="0" w:line="240" w:lineRule="auto"/>
              <w:rPr>
                <w:rFonts w:hint="default" w:ascii="Times New Roman" w:hAnsi="Times New Roman" w:eastAsia="Times New Roman" w:cs="Times New Roman"/>
                <w:bCs/>
                <w:color w:val="000000"/>
                <w:sz w:val="24"/>
                <w:szCs w:val="24"/>
                <w:lang w:val="en-US" w:eastAsia="ru-RU"/>
              </w:rPr>
            </w:pPr>
            <w:r>
              <w:rPr>
                <w:rFonts w:ascii="Times New Roman" w:hAnsi="Times New Roman" w:eastAsia="Times New Roman" w:cs="Times New Roman"/>
                <w:bCs/>
                <w:color w:val="000000"/>
                <w:sz w:val="24"/>
                <w:szCs w:val="24"/>
                <w:lang w:eastAsia="ru-RU"/>
              </w:rPr>
              <w:t>Светильник</w:t>
            </w:r>
            <w:r>
              <w:rPr>
                <w:rFonts w:hint="default" w:ascii="Times New Roman" w:hAnsi="Times New Roman" w:eastAsia="Times New Roman" w:cs="Times New Roman"/>
                <w:bCs/>
                <w:color w:val="000000"/>
                <w:sz w:val="24"/>
                <w:szCs w:val="24"/>
                <w:lang w:val="en-US" w:eastAsia="ru-RU"/>
              </w:rPr>
              <w:t xml:space="preserve"> для потолка</w:t>
            </w:r>
          </w:p>
        </w:tc>
        <w:tc>
          <w:tcPr>
            <w:tcW w:w="2537" w:type="dxa"/>
            <w:vAlign w:val="center"/>
          </w:tcPr>
          <w:p w14:paraId="117E234C">
            <w:pPr>
              <w:autoSpaceDE w:val="0"/>
              <w:autoSpaceDN w:val="0"/>
              <w:adjustRightInd w:val="0"/>
              <w:spacing w:after="0" w:line="240" w:lineRule="auto"/>
              <w:jc w:val="center"/>
              <w:rPr>
                <w:rFonts w:hint="default" w:ascii="Times New Roman" w:hAnsi="Times New Roman" w:eastAsia="Times New Roman" w:cs="Times New Roman"/>
                <w:bCs/>
                <w:color w:val="000000"/>
                <w:sz w:val="24"/>
                <w:szCs w:val="24"/>
                <w:lang w:val="en-US" w:eastAsia="ru-RU"/>
              </w:rPr>
            </w:pPr>
            <w:r>
              <w:rPr>
                <w:rFonts w:ascii="Times New Roman" w:hAnsi="Times New Roman" w:eastAsia="Times New Roman" w:cs="Times New Roman"/>
                <w:bCs/>
                <w:color w:val="000000"/>
                <w:sz w:val="24"/>
                <w:szCs w:val="24"/>
                <w:lang w:eastAsia="ru-RU"/>
              </w:rPr>
              <w:t>не</w:t>
            </w:r>
            <w:r>
              <w:rPr>
                <w:rFonts w:hint="default" w:ascii="Times New Roman" w:hAnsi="Times New Roman" w:eastAsia="Times New Roman" w:cs="Times New Roman"/>
                <w:bCs/>
                <w:color w:val="000000"/>
                <w:sz w:val="24"/>
                <w:szCs w:val="24"/>
                <w:lang w:val="en-US" w:eastAsia="ru-RU"/>
              </w:rPr>
              <w:t xml:space="preserve"> менее 15</w:t>
            </w:r>
          </w:p>
        </w:tc>
        <w:tc>
          <w:tcPr>
            <w:tcW w:w="2127" w:type="dxa"/>
            <w:vAlign w:val="center"/>
          </w:tcPr>
          <w:p w14:paraId="7CDEE1CF">
            <w:pPr>
              <w:autoSpaceDE w:val="0"/>
              <w:autoSpaceDN w:val="0"/>
              <w:adjustRightInd w:val="0"/>
              <w:spacing w:after="0" w:line="240" w:lineRule="auto"/>
              <w:jc w:val="center"/>
              <w:rPr>
                <w:rFonts w:hint="default" w:ascii="Times New Roman" w:hAnsi="Times New Roman" w:eastAsia="Times New Roman" w:cs="Times New Roman"/>
                <w:bCs/>
                <w:color w:val="000000"/>
                <w:sz w:val="24"/>
                <w:szCs w:val="24"/>
                <w:lang w:val="en-US" w:eastAsia="ru-RU"/>
              </w:rPr>
            </w:pPr>
            <w:r>
              <w:rPr>
                <w:rFonts w:ascii="Times New Roman" w:hAnsi="Times New Roman" w:eastAsia="Times New Roman" w:cs="Times New Roman"/>
                <w:bCs/>
                <w:color w:val="000000"/>
                <w:sz w:val="24"/>
                <w:szCs w:val="24"/>
                <w:lang w:eastAsia="ru-RU"/>
              </w:rPr>
              <w:t>не</w:t>
            </w:r>
            <w:r>
              <w:rPr>
                <w:rFonts w:hint="default" w:ascii="Times New Roman" w:hAnsi="Times New Roman" w:eastAsia="Times New Roman" w:cs="Times New Roman"/>
                <w:bCs/>
                <w:color w:val="000000"/>
                <w:sz w:val="24"/>
                <w:szCs w:val="24"/>
                <w:lang w:val="en-US" w:eastAsia="ru-RU"/>
              </w:rPr>
              <w:t xml:space="preserve"> более 2 500,00</w:t>
            </w:r>
          </w:p>
        </w:tc>
      </w:tr>
    </w:tbl>
    <w:p w14:paraId="1C75A24B">
      <w:pPr>
        <w:autoSpaceDE w:val="0"/>
        <w:autoSpaceDN w:val="0"/>
        <w:adjustRightInd w:val="0"/>
        <w:spacing w:after="0"/>
        <w:jc w:val="both"/>
        <w:rPr>
          <w:rFonts w:ascii="Times New Roman" w:hAnsi="Times New Roman" w:cs="Times New Roman"/>
          <w:bCs/>
          <w:sz w:val="24"/>
          <w:szCs w:val="28"/>
        </w:rPr>
      </w:pPr>
      <w:r>
        <w:rPr>
          <w:rFonts w:ascii="Times New Roman" w:hAnsi="Times New Roman" w:cs="Times New Roman"/>
          <w:bCs/>
          <w:sz w:val="24"/>
          <w:szCs w:val="28"/>
        </w:rPr>
        <w:t>*Количество и наименование основных средств, хозяйственных товаров, принадлежностей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подведомственного областного казенного учреждения.</w:t>
      </w:r>
    </w:p>
    <w:p w14:paraId="79C406D2">
      <w:pPr>
        <w:autoSpaceDE w:val="0"/>
        <w:autoSpaceDN w:val="0"/>
        <w:adjustRightInd w:val="0"/>
        <w:spacing w:after="0"/>
        <w:jc w:val="both"/>
        <w:rPr>
          <w:rFonts w:ascii="Times New Roman" w:hAnsi="Times New Roman" w:cs="Times New Roman"/>
          <w:bCs/>
          <w:sz w:val="24"/>
          <w:szCs w:val="28"/>
        </w:rPr>
      </w:pPr>
    </w:p>
    <w:p w14:paraId="1B003403">
      <w:pPr>
        <w:widowControl w:val="0"/>
        <w:autoSpaceDE w:val="0"/>
        <w:autoSpaceDN w:val="0"/>
        <w:spacing w:after="0" w:line="36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12. Затраты на приобретение бланочной продукции </w:t>
      </w:r>
      <w:r>
        <w:rPr>
          <w:rFonts w:ascii="Times New Roman" w:hAnsi="Times New Roman" w:eastAsia="Times New Roman" w:cs="Times New Roman"/>
          <w:position w:val="-12"/>
          <w:sz w:val="28"/>
          <w:szCs w:val="28"/>
          <w:lang w:eastAsia="ru-RU"/>
        </w:rPr>
        <w:drawing>
          <wp:inline distT="0" distB="0" distL="0" distR="0">
            <wp:extent cx="374015" cy="254635"/>
            <wp:effectExtent l="0" t="0" r="6985" b="0"/>
            <wp:docPr id="94" name="Рисунок 94" descr="base_23792_85543_851"/>
            <wp:cNvGraphicFramePr/>
            <a:graphic xmlns:a="http://schemas.openxmlformats.org/drawingml/2006/main">
              <a:graphicData uri="http://schemas.openxmlformats.org/drawingml/2006/picture">
                <pic:pic xmlns:pic="http://schemas.openxmlformats.org/drawingml/2006/picture">
                  <pic:nvPicPr>
                    <pic:cNvPr id="94" name="Рисунок 94" descr="base_23792_85543_851"/>
                    <pic:cNvPicPr preferRelativeResize="0">
                      <a:picLocks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a:xfrm>
                      <a:off x="0" y="0"/>
                      <a:ext cx="374015" cy="254635"/>
                    </a:xfrm>
                    <a:prstGeom prst="rect">
                      <a:avLst/>
                    </a:prstGeom>
                    <a:noFill/>
                    <a:ln>
                      <a:noFill/>
                    </a:ln>
                  </pic:spPr>
                </pic:pic>
              </a:graphicData>
            </a:graphic>
          </wp:inline>
        </w:drawing>
      </w:r>
      <w:r>
        <w:rPr>
          <w:rFonts w:ascii="Times New Roman" w:hAnsi="Times New Roman" w:eastAsia="Times New Roman" w:cs="Times New Roman"/>
          <w:sz w:val="28"/>
          <w:szCs w:val="28"/>
          <w:lang w:eastAsia="ru-RU"/>
        </w:rPr>
        <w:t>, определяемые по формуле:</w:t>
      </w:r>
    </w:p>
    <w:p w14:paraId="71D81341">
      <w:pPr>
        <w:widowControl w:val="0"/>
        <w:autoSpaceDE w:val="0"/>
        <w:autoSpaceDN w:val="0"/>
        <w:spacing w:after="0" w:line="360" w:lineRule="auto"/>
        <w:ind w:firstLine="709"/>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drawing>
          <wp:inline distT="0" distB="0" distL="0" distR="0">
            <wp:extent cx="2655570" cy="501015"/>
            <wp:effectExtent l="0" t="0" r="0" b="0"/>
            <wp:docPr id="93" name="Рисунок 93" descr="base_23792_85543_852"/>
            <wp:cNvGraphicFramePr/>
            <a:graphic xmlns:a="http://schemas.openxmlformats.org/drawingml/2006/main">
              <a:graphicData uri="http://schemas.openxmlformats.org/drawingml/2006/picture">
                <pic:pic xmlns:pic="http://schemas.openxmlformats.org/drawingml/2006/picture">
                  <pic:nvPicPr>
                    <pic:cNvPr id="93" name="Рисунок 93" descr="base_23792_85543_852"/>
                    <pic:cNvPicPr preferRelativeResize="0">
                      <a:picLocks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a:xfrm>
                      <a:off x="0" y="0"/>
                      <a:ext cx="2655570" cy="501015"/>
                    </a:xfrm>
                    <a:prstGeom prst="rect">
                      <a:avLst/>
                    </a:prstGeom>
                    <a:noFill/>
                    <a:ln>
                      <a:noFill/>
                    </a:ln>
                  </pic:spPr>
                </pic:pic>
              </a:graphicData>
            </a:graphic>
          </wp:inline>
        </w:drawing>
      </w:r>
    </w:p>
    <w:p w14:paraId="09679F59">
      <w:pPr>
        <w:widowControl w:val="0"/>
        <w:autoSpaceDE w:val="0"/>
        <w:autoSpaceDN w:val="0"/>
        <w:spacing w:after="0" w:line="36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position w:val="-14"/>
          <w:sz w:val="28"/>
          <w:szCs w:val="28"/>
          <w:lang w:eastAsia="ru-RU"/>
        </w:rPr>
        <w:drawing>
          <wp:inline distT="0" distB="0" distL="0" distR="0">
            <wp:extent cx="285750" cy="257175"/>
            <wp:effectExtent l="0" t="0" r="0" b="0"/>
            <wp:docPr id="280" name="Рисунок 92" descr="base_23792_85543_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Рисунок 92" descr="base_23792_85543_853"/>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eastAsia="Times New Roman" w:cs="Times New Roman"/>
          <w:sz w:val="28"/>
          <w:szCs w:val="28"/>
          <w:lang w:eastAsia="ru-RU"/>
        </w:rPr>
        <w:t xml:space="preserve"> – количество бланочной и иной типографской продукции;</w:t>
      </w:r>
    </w:p>
    <w:p w14:paraId="6758E130">
      <w:pPr>
        <w:widowControl w:val="0"/>
        <w:autoSpaceDE w:val="0"/>
        <w:autoSpaceDN w:val="0"/>
        <w:spacing w:after="0" w:line="36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position w:val="-14"/>
          <w:sz w:val="28"/>
          <w:szCs w:val="28"/>
          <w:lang w:eastAsia="ru-RU"/>
        </w:rPr>
        <w:drawing>
          <wp:inline distT="0" distB="0" distL="0" distR="0">
            <wp:extent cx="247650" cy="257175"/>
            <wp:effectExtent l="0" t="0" r="0" b="0"/>
            <wp:docPr id="281" name="Рисунок 91" descr="base_23792_85543_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Рисунок 91" descr="base_23792_85543_854"/>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eastAsia="Times New Roman" w:cs="Times New Roman"/>
          <w:sz w:val="28"/>
          <w:szCs w:val="28"/>
          <w:lang w:eastAsia="ru-RU"/>
        </w:rPr>
        <w:t xml:space="preserve"> – цена одного бланка по i-му тиражу;</w:t>
      </w:r>
    </w:p>
    <w:p w14:paraId="57C3CFB1">
      <w:pPr>
        <w:widowControl w:val="0"/>
        <w:autoSpaceDE w:val="0"/>
        <w:autoSpaceDN w:val="0"/>
        <w:spacing w:after="0" w:line="36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position w:val="-14"/>
          <w:sz w:val="28"/>
          <w:szCs w:val="28"/>
          <w:lang w:eastAsia="ru-RU"/>
        </w:rPr>
        <w:drawing>
          <wp:inline distT="0" distB="0" distL="0" distR="0">
            <wp:extent cx="333375" cy="257175"/>
            <wp:effectExtent l="0" t="0" r="0" b="0"/>
            <wp:docPr id="282" name="Рисунок 90" descr="base_23792_85543_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Рисунок 90" descr="base_23792_85543_855"/>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eastAsia="Times New Roman" w:cs="Times New Roman"/>
          <w:sz w:val="28"/>
          <w:szCs w:val="28"/>
          <w:lang w:eastAsia="ru-RU"/>
        </w:rPr>
        <w:t xml:space="preserve"> – количество прочей продукции, изготовляемой типографией;</w:t>
      </w:r>
    </w:p>
    <w:p w14:paraId="22980B05">
      <w:pPr>
        <w:widowControl w:val="0"/>
        <w:autoSpaceDE w:val="0"/>
        <w:autoSpaceDN w:val="0"/>
        <w:spacing w:after="0" w:line="36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position w:val="-14"/>
          <w:sz w:val="28"/>
          <w:szCs w:val="28"/>
          <w:lang w:eastAsia="ru-RU"/>
        </w:rPr>
        <w:drawing>
          <wp:inline distT="0" distB="0" distL="0" distR="0">
            <wp:extent cx="294005" cy="254635"/>
            <wp:effectExtent l="0" t="0" r="0" b="0"/>
            <wp:docPr id="89" name="Рисунок 89" descr="base_23792_85543_856"/>
            <wp:cNvGraphicFramePr/>
            <a:graphic xmlns:a="http://schemas.openxmlformats.org/drawingml/2006/main">
              <a:graphicData uri="http://schemas.openxmlformats.org/drawingml/2006/picture">
                <pic:pic xmlns:pic="http://schemas.openxmlformats.org/drawingml/2006/picture">
                  <pic:nvPicPr>
                    <pic:cNvPr id="89" name="Рисунок 89" descr="base_23792_85543_856"/>
                    <pic:cNvPicPr preferRelativeResize="0">
                      <a:picLocks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a:xfrm>
                      <a:off x="0" y="0"/>
                      <a:ext cx="294005" cy="254635"/>
                    </a:xfrm>
                    <a:prstGeom prst="rect">
                      <a:avLst/>
                    </a:prstGeom>
                    <a:noFill/>
                    <a:ln>
                      <a:noFill/>
                    </a:ln>
                  </pic:spPr>
                </pic:pic>
              </a:graphicData>
            </a:graphic>
          </wp:inline>
        </w:drawing>
      </w:r>
      <w:r>
        <w:rPr>
          <w:rFonts w:ascii="Times New Roman" w:hAnsi="Times New Roman" w:eastAsia="Times New Roman" w:cs="Times New Roman"/>
          <w:sz w:val="28"/>
          <w:szCs w:val="28"/>
          <w:lang w:eastAsia="ru-RU"/>
        </w:rPr>
        <w:t xml:space="preserve"> – цена одной единицы прочей продукции, изготовляемой типографией по   j-му тиражу. </w:t>
      </w:r>
    </w:p>
    <w:p w14:paraId="1EE3A47A">
      <w:pPr>
        <w:pStyle w:val="8"/>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бланочной продукции производится в соответствии с нормативами согласно таблице №31. </w:t>
      </w:r>
    </w:p>
    <w:p w14:paraId="5AC3A6D2">
      <w:pPr>
        <w:widowControl w:val="0"/>
        <w:autoSpaceDE w:val="0"/>
        <w:autoSpaceDN w:val="0"/>
        <w:spacing w:after="0" w:line="360" w:lineRule="auto"/>
        <w:ind w:firstLine="709"/>
        <w:jc w:val="both"/>
        <w:rPr>
          <w:rFonts w:ascii="Times New Roman" w:hAnsi="Times New Roman" w:eastAsia="Times New Roman" w:cs="Times New Roman"/>
          <w:sz w:val="28"/>
          <w:szCs w:val="28"/>
          <w:lang w:eastAsia="ru-RU"/>
        </w:rPr>
      </w:pPr>
    </w:p>
    <w:p w14:paraId="3E9D2ACC">
      <w:pPr>
        <w:widowControl w:val="0"/>
        <w:autoSpaceDE w:val="0"/>
        <w:autoSpaceDN w:val="0"/>
        <w:spacing w:after="0" w:line="360" w:lineRule="auto"/>
        <w:ind w:firstLine="709"/>
        <w:jc w:val="right"/>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Таблица №31</w:t>
      </w:r>
    </w:p>
    <w:p w14:paraId="2E7FA110">
      <w:pPr>
        <w:widowControl w:val="0"/>
        <w:autoSpaceDE w:val="0"/>
        <w:autoSpaceDN w:val="0"/>
        <w:spacing w:after="0" w:line="36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Норматив затрат на приобретение бланочной продукции</w:t>
      </w:r>
    </w:p>
    <w:tbl>
      <w:tblPr>
        <w:tblStyle w:val="3"/>
        <w:tblW w:w="949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98"/>
        <w:gridCol w:w="1276"/>
        <w:gridCol w:w="2126"/>
        <w:gridCol w:w="2095"/>
      </w:tblGrid>
      <w:tr w14:paraId="483AA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998" w:type="dxa"/>
            <w:tcBorders>
              <w:top w:val="single" w:color="auto" w:sz="4" w:space="0"/>
              <w:left w:val="single" w:color="auto" w:sz="4" w:space="0"/>
              <w:bottom w:val="single" w:color="auto" w:sz="4" w:space="0"/>
              <w:right w:val="single" w:color="auto" w:sz="4" w:space="0"/>
            </w:tcBorders>
          </w:tcPr>
          <w:p w14:paraId="7152AB31">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Наименование бланочной продукции</w:t>
            </w:r>
          </w:p>
        </w:tc>
        <w:tc>
          <w:tcPr>
            <w:tcW w:w="1276" w:type="dxa"/>
            <w:tcBorders>
              <w:top w:val="single" w:color="auto" w:sz="4" w:space="0"/>
              <w:left w:val="single" w:color="auto" w:sz="4" w:space="0"/>
              <w:bottom w:val="single" w:color="auto" w:sz="4" w:space="0"/>
              <w:right w:val="single" w:color="auto" w:sz="4" w:space="0"/>
            </w:tcBorders>
          </w:tcPr>
          <w:p w14:paraId="0B7E627A">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Единица измерения</w:t>
            </w:r>
          </w:p>
        </w:tc>
        <w:tc>
          <w:tcPr>
            <w:tcW w:w="2126" w:type="dxa"/>
            <w:tcBorders>
              <w:top w:val="single" w:color="auto" w:sz="4" w:space="0"/>
              <w:left w:val="single" w:color="auto" w:sz="4" w:space="0"/>
              <w:bottom w:val="single" w:color="auto" w:sz="4" w:space="0"/>
              <w:right w:val="single" w:color="auto" w:sz="4" w:space="0"/>
            </w:tcBorders>
          </w:tcPr>
          <w:p w14:paraId="0A94968D">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количества</w:t>
            </w:r>
          </w:p>
          <w:p w14:paraId="0160437E">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(в год)</w:t>
            </w:r>
          </w:p>
        </w:tc>
        <w:tc>
          <w:tcPr>
            <w:tcW w:w="2095" w:type="dxa"/>
            <w:tcBorders>
              <w:top w:val="single" w:color="auto" w:sz="4" w:space="0"/>
              <w:left w:val="single" w:color="auto" w:sz="4" w:space="0"/>
              <w:bottom w:val="single" w:color="auto" w:sz="4" w:space="0"/>
              <w:right w:val="single" w:color="auto" w:sz="4" w:space="0"/>
            </w:tcBorders>
          </w:tcPr>
          <w:p w14:paraId="6509E8F3">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цены за единицу (рублей)</w:t>
            </w:r>
          </w:p>
        </w:tc>
      </w:tr>
      <w:tr w14:paraId="258EC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3998" w:type="dxa"/>
            <w:tcBorders>
              <w:top w:val="single" w:color="auto" w:sz="4" w:space="0"/>
              <w:left w:val="single" w:color="auto" w:sz="4" w:space="0"/>
              <w:bottom w:val="single" w:color="auto" w:sz="4" w:space="0"/>
              <w:right w:val="single" w:color="auto" w:sz="4" w:space="0"/>
            </w:tcBorders>
          </w:tcPr>
          <w:p w14:paraId="0DB02367">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w:t>
            </w:r>
          </w:p>
        </w:tc>
        <w:tc>
          <w:tcPr>
            <w:tcW w:w="1276" w:type="dxa"/>
            <w:tcBorders>
              <w:top w:val="single" w:color="auto" w:sz="4" w:space="0"/>
              <w:left w:val="single" w:color="auto" w:sz="4" w:space="0"/>
              <w:bottom w:val="single" w:color="auto" w:sz="4" w:space="0"/>
              <w:right w:val="single" w:color="auto" w:sz="4" w:space="0"/>
            </w:tcBorders>
          </w:tcPr>
          <w:p w14:paraId="394ADC24">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w:t>
            </w:r>
          </w:p>
        </w:tc>
        <w:tc>
          <w:tcPr>
            <w:tcW w:w="2126" w:type="dxa"/>
            <w:tcBorders>
              <w:top w:val="single" w:color="auto" w:sz="4" w:space="0"/>
              <w:left w:val="single" w:color="auto" w:sz="4" w:space="0"/>
              <w:bottom w:val="single" w:color="auto" w:sz="4" w:space="0"/>
              <w:right w:val="single" w:color="auto" w:sz="4" w:space="0"/>
            </w:tcBorders>
          </w:tcPr>
          <w:p w14:paraId="07EC33FD">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c>
          <w:tcPr>
            <w:tcW w:w="2095" w:type="dxa"/>
            <w:tcBorders>
              <w:top w:val="single" w:color="auto" w:sz="4" w:space="0"/>
              <w:left w:val="single" w:color="auto" w:sz="4" w:space="0"/>
              <w:bottom w:val="single" w:color="auto" w:sz="4" w:space="0"/>
              <w:right w:val="single" w:color="auto" w:sz="4" w:space="0"/>
            </w:tcBorders>
          </w:tcPr>
          <w:p w14:paraId="0B931B66">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4</w:t>
            </w:r>
          </w:p>
        </w:tc>
      </w:tr>
      <w:tr w14:paraId="1C262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3998" w:type="dxa"/>
            <w:tcBorders>
              <w:top w:val="single" w:color="auto" w:sz="4" w:space="0"/>
              <w:left w:val="single" w:color="auto" w:sz="4" w:space="0"/>
              <w:bottom w:val="single" w:color="auto" w:sz="4" w:space="0"/>
              <w:right w:val="single" w:color="auto" w:sz="4" w:space="0"/>
            </w:tcBorders>
          </w:tcPr>
          <w:p w14:paraId="1263A7C2">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Бланк строгой отчетности (бланк лицензии на розничную продажу алкогольной продукции, уровень защиты от подделок «Б» и приложение к бланку лицензии)</w:t>
            </w:r>
          </w:p>
        </w:tc>
        <w:tc>
          <w:tcPr>
            <w:tcW w:w="1276" w:type="dxa"/>
            <w:tcBorders>
              <w:top w:val="single" w:color="auto" w:sz="4" w:space="0"/>
              <w:left w:val="single" w:color="auto" w:sz="4" w:space="0"/>
              <w:bottom w:val="single" w:color="auto" w:sz="4" w:space="0"/>
              <w:right w:val="single" w:color="auto" w:sz="4" w:space="0"/>
            </w:tcBorders>
          </w:tcPr>
          <w:p w14:paraId="142776F3">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штук</w:t>
            </w:r>
          </w:p>
        </w:tc>
        <w:tc>
          <w:tcPr>
            <w:tcW w:w="2126" w:type="dxa"/>
            <w:tcBorders>
              <w:top w:val="single" w:color="auto" w:sz="4" w:space="0"/>
              <w:left w:val="single" w:color="auto" w:sz="4" w:space="0"/>
              <w:bottom w:val="single" w:color="auto" w:sz="4" w:space="0"/>
              <w:right w:val="single" w:color="auto" w:sz="4" w:space="0"/>
            </w:tcBorders>
          </w:tcPr>
          <w:p w14:paraId="490B07F7">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2000 каждого вида</w:t>
            </w:r>
          </w:p>
        </w:tc>
        <w:tc>
          <w:tcPr>
            <w:tcW w:w="2095" w:type="dxa"/>
            <w:tcBorders>
              <w:top w:val="single" w:color="auto" w:sz="4" w:space="0"/>
              <w:left w:val="single" w:color="auto" w:sz="4" w:space="0"/>
              <w:bottom w:val="single" w:color="auto" w:sz="4" w:space="0"/>
              <w:right w:val="single" w:color="auto" w:sz="4" w:space="0"/>
            </w:tcBorders>
          </w:tcPr>
          <w:p w14:paraId="473D77B4">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70,00</w:t>
            </w:r>
          </w:p>
        </w:tc>
      </w:tr>
    </w:tbl>
    <w:p w14:paraId="7DBCFF6B">
      <w:pPr>
        <w:widowControl w:val="0"/>
        <w:autoSpaceDE w:val="0"/>
        <w:autoSpaceDN w:val="0"/>
        <w:spacing w:after="0" w:line="360" w:lineRule="auto"/>
        <w:ind w:firstLine="709"/>
        <w:jc w:val="both"/>
        <w:rPr>
          <w:rFonts w:ascii="Times New Roman" w:hAnsi="Times New Roman" w:eastAsia="Times New Roman" w:cs="Times New Roman"/>
          <w:sz w:val="28"/>
          <w:szCs w:val="28"/>
          <w:lang w:eastAsia="ru-RU"/>
        </w:rPr>
      </w:pPr>
    </w:p>
    <w:p w14:paraId="58F83DFC">
      <w:pPr>
        <w:widowControl w:val="0"/>
        <w:autoSpaceDE w:val="0"/>
        <w:autoSpaceDN w:val="0"/>
        <w:spacing w:after="0" w:line="360" w:lineRule="auto"/>
        <w:ind w:firstLine="709"/>
        <w:jc w:val="right"/>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w:t>
      </w:r>
    </w:p>
    <w:p w14:paraId="569F9F69">
      <w:pPr>
        <w:widowControl w:val="0"/>
        <w:autoSpaceDE w:val="0"/>
        <w:autoSpaceDN w:val="0"/>
        <w:spacing w:after="0" w:line="360" w:lineRule="auto"/>
        <w:ind w:firstLine="709"/>
        <w:jc w:val="right"/>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Таблица №31.1</w:t>
      </w:r>
    </w:p>
    <w:p w14:paraId="44B35C95">
      <w:pPr>
        <w:widowControl w:val="0"/>
        <w:autoSpaceDE w:val="0"/>
        <w:autoSpaceDN w:val="0"/>
        <w:spacing w:after="0" w:line="36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Норматив затрат на приобретение прочей типографской продукции министерства и агентства.</w:t>
      </w:r>
    </w:p>
    <w:tbl>
      <w:tblPr>
        <w:tblStyle w:val="3"/>
        <w:tblW w:w="938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7"/>
        <w:gridCol w:w="1984"/>
        <w:gridCol w:w="2697"/>
      </w:tblGrid>
      <w:tr w14:paraId="3732F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4707" w:type="dxa"/>
            <w:tcBorders>
              <w:top w:val="single" w:color="auto" w:sz="4" w:space="0"/>
              <w:left w:val="single" w:color="auto" w:sz="4" w:space="0"/>
              <w:bottom w:val="single" w:color="auto" w:sz="4" w:space="0"/>
              <w:right w:val="single" w:color="auto" w:sz="4" w:space="0"/>
            </w:tcBorders>
          </w:tcPr>
          <w:p w14:paraId="2FF38703">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Наименование продукции</w:t>
            </w:r>
          </w:p>
        </w:tc>
        <w:tc>
          <w:tcPr>
            <w:tcW w:w="1984" w:type="dxa"/>
            <w:tcBorders>
              <w:top w:val="single" w:color="auto" w:sz="4" w:space="0"/>
              <w:left w:val="single" w:color="auto" w:sz="4" w:space="0"/>
              <w:bottom w:val="single" w:color="auto" w:sz="4" w:space="0"/>
              <w:right w:val="single" w:color="auto" w:sz="4" w:space="0"/>
            </w:tcBorders>
          </w:tcPr>
          <w:p w14:paraId="2C8F517D">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количества</w:t>
            </w:r>
          </w:p>
          <w:p w14:paraId="1135E242">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(в год), штук</w:t>
            </w:r>
          </w:p>
        </w:tc>
        <w:tc>
          <w:tcPr>
            <w:tcW w:w="2697" w:type="dxa"/>
            <w:tcBorders>
              <w:top w:val="single" w:color="auto" w:sz="4" w:space="0"/>
              <w:left w:val="single" w:color="auto" w:sz="4" w:space="0"/>
              <w:bottom w:val="single" w:color="auto" w:sz="4" w:space="0"/>
              <w:right w:val="single" w:color="auto" w:sz="4" w:space="0"/>
            </w:tcBorders>
          </w:tcPr>
          <w:p w14:paraId="5B35BA25">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цены за единицу (рублей)</w:t>
            </w:r>
          </w:p>
        </w:tc>
      </w:tr>
      <w:tr w14:paraId="1B90B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4707" w:type="dxa"/>
            <w:tcBorders>
              <w:top w:val="single" w:color="auto" w:sz="4" w:space="0"/>
              <w:left w:val="single" w:color="auto" w:sz="4" w:space="0"/>
              <w:bottom w:val="single" w:color="auto" w:sz="4" w:space="0"/>
              <w:right w:val="single" w:color="auto" w:sz="4" w:space="0"/>
            </w:tcBorders>
          </w:tcPr>
          <w:p w14:paraId="38738045">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w:t>
            </w:r>
          </w:p>
        </w:tc>
        <w:tc>
          <w:tcPr>
            <w:tcW w:w="1984" w:type="dxa"/>
            <w:tcBorders>
              <w:top w:val="single" w:color="auto" w:sz="4" w:space="0"/>
              <w:left w:val="single" w:color="auto" w:sz="4" w:space="0"/>
              <w:bottom w:val="single" w:color="auto" w:sz="4" w:space="0"/>
              <w:right w:val="single" w:color="auto" w:sz="4" w:space="0"/>
            </w:tcBorders>
          </w:tcPr>
          <w:p w14:paraId="420CAA63">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c>
          <w:tcPr>
            <w:tcW w:w="2697" w:type="dxa"/>
            <w:tcBorders>
              <w:top w:val="single" w:color="auto" w:sz="4" w:space="0"/>
              <w:left w:val="single" w:color="auto" w:sz="4" w:space="0"/>
              <w:bottom w:val="single" w:color="auto" w:sz="4" w:space="0"/>
              <w:right w:val="single" w:color="auto" w:sz="4" w:space="0"/>
            </w:tcBorders>
          </w:tcPr>
          <w:p w14:paraId="7AF17133">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4</w:t>
            </w:r>
          </w:p>
        </w:tc>
      </w:tr>
      <w:tr w14:paraId="69E02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4707" w:type="dxa"/>
            <w:tcBorders>
              <w:top w:val="single" w:color="auto" w:sz="4" w:space="0"/>
              <w:left w:val="single" w:color="auto" w:sz="4" w:space="0"/>
              <w:bottom w:val="single" w:color="auto" w:sz="4" w:space="0"/>
              <w:right w:val="single" w:color="auto" w:sz="4" w:space="0"/>
            </w:tcBorders>
          </w:tcPr>
          <w:p w14:paraId="1AEAAEA5">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Полиграфическая продукция, в том числе разработка дизайна (буклеты, листовки)</w:t>
            </w:r>
          </w:p>
        </w:tc>
        <w:tc>
          <w:tcPr>
            <w:tcW w:w="1984" w:type="dxa"/>
            <w:tcBorders>
              <w:top w:val="single" w:color="auto" w:sz="4" w:space="0"/>
              <w:left w:val="single" w:color="auto" w:sz="4" w:space="0"/>
              <w:bottom w:val="single" w:color="auto" w:sz="4" w:space="0"/>
              <w:right w:val="single" w:color="auto" w:sz="4" w:space="0"/>
            </w:tcBorders>
          </w:tcPr>
          <w:p w14:paraId="383AA2BE">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500</w:t>
            </w:r>
          </w:p>
        </w:tc>
        <w:tc>
          <w:tcPr>
            <w:tcW w:w="2697" w:type="dxa"/>
            <w:tcBorders>
              <w:top w:val="single" w:color="auto" w:sz="4" w:space="0"/>
              <w:left w:val="single" w:color="auto" w:sz="4" w:space="0"/>
              <w:bottom w:val="single" w:color="auto" w:sz="4" w:space="0"/>
              <w:right w:val="single" w:color="auto" w:sz="4" w:space="0"/>
            </w:tcBorders>
          </w:tcPr>
          <w:p w14:paraId="3C8232B5">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100,00</w:t>
            </w:r>
          </w:p>
        </w:tc>
      </w:tr>
      <w:tr w14:paraId="25302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4707" w:type="dxa"/>
            <w:tcBorders>
              <w:top w:val="single" w:color="auto" w:sz="4" w:space="0"/>
              <w:left w:val="single" w:color="auto" w:sz="4" w:space="0"/>
              <w:bottom w:val="single" w:color="auto" w:sz="4" w:space="0"/>
              <w:right w:val="single" w:color="auto" w:sz="4" w:space="0"/>
            </w:tcBorders>
          </w:tcPr>
          <w:p w14:paraId="568032DD">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Открытки</w:t>
            </w:r>
          </w:p>
        </w:tc>
        <w:tc>
          <w:tcPr>
            <w:tcW w:w="1984" w:type="dxa"/>
            <w:tcBorders>
              <w:top w:val="single" w:color="auto" w:sz="4" w:space="0"/>
              <w:left w:val="single" w:color="auto" w:sz="4" w:space="0"/>
              <w:bottom w:val="single" w:color="auto" w:sz="4" w:space="0"/>
              <w:right w:val="single" w:color="auto" w:sz="4" w:space="0"/>
            </w:tcBorders>
          </w:tcPr>
          <w:p w14:paraId="0F2C33BC">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w:t>
            </w:r>
          </w:p>
        </w:tc>
        <w:tc>
          <w:tcPr>
            <w:tcW w:w="2697" w:type="dxa"/>
            <w:tcBorders>
              <w:top w:val="single" w:color="auto" w:sz="4" w:space="0"/>
              <w:left w:val="single" w:color="auto" w:sz="4" w:space="0"/>
              <w:bottom w:val="single" w:color="auto" w:sz="4" w:space="0"/>
              <w:right w:val="single" w:color="auto" w:sz="4" w:space="0"/>
            </w:tcBorders>
          </w:tcPr>
          <w:p w14:paraId="2DC978E8">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300,00</w:t>
            </w:r>
          </w:p>
        </w:tc>
      </w:tr>
      <w:tr w14:paraId="3988C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4707" w:type="dxa"/>
            <w:tcBorders>
              <w:top w:val="single" w:color="auto" w:sz="4" w:space="0"/>
              <w:left w:val="single" w:color="auto" w:sz="4" w:space="0"/>
              <w:bottom w:val="single" w:color="auto" w:sz="4" w:space="0"/>
              <w:right w:val="single" w:color="auto" w:sz="4" w:space="0"/>
            </w:tcBorders>
          </w:tcPr>
          <w:p w14:paraId="442085E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Благодарственные письма</w:t>
            </w:r>
          </w:p>
        </w:tc>
        <w:tc>
          <w:tcPr>
            <w:tcW w:w="1984" w:type="dxa"/>
            <w:tcBorders>
              <w:top w:val="single" w:color="auto" w:sz="4" w:space="0"/>
              <w:left w:val="single" w:color="auto" w:sz="4" w:space="0"/>
              <w:bottom w:val="single" w:color="auto" w:sz="4" w:space="0"/>
              <w:right w:val="single" w:color="auto" w:sz="4" w:space="0"/>
            </w:tcBorders>
          </w:tcPr>
          <w:p w14:paraId="2EBCBE8A">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w:t>
            </w:r>
          </w:p>
        </w:tc>
        <w:tc>
          <w:tcPr>
            <w:tcW w:w="2697" w:type="dxa"/>
            <w:tcBorders>
              <w:top w:val="single" w:color="auto" w:sz="4" w:space="0"/>
              <w:left w:val="single" w:color="auto" w:sz="4" w:space="0"/>
              <w:bottom w:val="single" w:color="auto" w:sz="4" w:space="0"/>
              <w:right w:val="single" w:color="auto" w:sz="4" w:space="0"/>
            </w:tcBorders>
          </w:tcPr>
          <w:p w14:paraId="19E677A5">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300,00</w:t>
            </w:r>
          </w:p>
        </w:tc>
      </w:tr>
      <w:tr w14:paraId="19445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4707" w:type="dxa"/>
            <w:tcBorders>
              <w:top w:val="single" w:color="auto" w:sz="4" w:space="0"/>
              <w:left w:val="single" w:color="auto" w:sz="4" w:space="0"/>
              <w:bottom w:val="single" w:color="auto" w:sz="4" w:space="0"/>
              <w:right w:val="single" w:color="auto" w:sz="4" w:space="0"/>
            </w:tcBorders>
          </w:tcPr>
          <w:p w14:paraId="4E7A96F6">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Почетная грамота</w:t>
            </w:r>
          </w:p>
        </w:tc>
        <w:tc>
          <w:tcPr>
            <w:tcW w:w="1984" w:type="dxa"/>
            <w:tcBorders>
              <w:top w:val="single" w:color="auto" w:sz="4" w:space="0"/>
              <w:left w:val="single" w:color="auto" w:sz="4" w:space="0"/>
              <w:bottom w:val="single" w:color="auto" w:sz="4" w:space="0"/>
              <w:right w:val="single" w:color="auto" w:sz="4" w:space="0"/>
            </w:tcBorders>
          </w:tcPr>
          <w:p w14:paraId="4FFE2D0A">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w:t>
            </w:r>
          </w:p>
        </w:tc>
        <w:tc>
          <w:tcPr>
            <w:tcW w:w="2697" w:type="dxa"/>
            <w:tcBorders>
              <w:top w:val="single" w:color="auto" w:sz="4" w:space="0"/>
              <w:left w:val="single" w:color="auto" w:sz="4" w:space="0"/>
              <w:bottom w:val="single" w:color="auto" w:sz="4" w:space="0"/>
              <w:right w:val="single" w:color="auto" w:sz="4" w:space="0"/>
            </w:tcBorders>
          </w:tcPr>
          <w:p w14:paraId="6512B205">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300,00</w:t>
            </w:r>
          </w:p>
        </w:tc>
      </w:tr>
      <w:tr w14:paraId="7F9A3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4707" w:type="dxa"/>
            <w:tcBorders>
              <w:top w:val="single" w:color="auto" w:sz="4" w:space="0"/>
              <w:left w:val="single" w:color="auto" w:sz="4" w:space="0"/>
              <w:bottom w:val="single" w:color="auto" w:sz="4" w:space="0"/>
              <w:right w:val="single" w:color="auto" w:sz="4" w:space="0"/>
            </w:tcBorders>
          </w:tcPr>
          <w:p w14:paraId="6EE6878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Визитные карточки</w:t>
            </w:r>
          </w:p>
        </w:tc>
        <w:tc>
          <w:tcPr>
            <w:tcW w:w="1984" w:type="dxa"/>
            <w:tcBorders>
              <w:top w:val="single" w:color="auto" w:sz="4" w:space="0"/>
              <w:left w:val="single" w:color="auto" w:sz="4" w:space="0"/>
              <w:bottom w:val="single" w:color="auto" w:sz="4" w:space="0"/>
              <w:right w:val="single" w:color="auto" w:sz="4" w:space="0"/>
            </w:tcBorders>
          </w:tcPr>
          <w:p w14:paraId="32107151">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300 (для министра и руководителя учреждения), </w:t>
            </w:r>
          </w:p>
          <w:p w14:paraId="09C58418">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 (для зам. министра, начальников отделов и зам. директора учреждения),</w:t>
            </w:r>
          </w:p>
          <w:p w14:paraId="1CEA5EC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300(для каждого из сотрудников министерства и учреждения)</w:t>
            </w:r>
          </w:p>
        </w:tc>
        <w:tc>
          <w:tcPr>
            <w:tcW w:w="2697" w:type="dxa"/>
            <w:tcBorders>
              <w:top w:val="single" w:color="auto" w:sz="4" w:space="0"/>
              <w:left w:val="single" w:color="auto" w:sz="4" w:space="0"/>
              <w:bottom w:val="single" w:color="auto" w:sz="4" w:space="0"/>
              <w:right w:val="single" w:color="auto" w:sz="4" w:space="0"/>
            </w:tcBorders>
          </w:tcPr>
          <w:p w14:paraId="111A481B">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70,00</w:t>
            </w:r>
          </w:p>
          <w:p w14:paraId="7D0082C5">
            <w:pPr>
              <w:widowControl w:val="0"/>
              <w:autoSpaceDE w:val="0"/>
              <w:autoSpaceDN w:val="0"/>
              <w:adjustRightInd w:val="0"/>
              <w:spacing w:after="0" w:line="240" w:lineRule="auto"/>
              <w:jc w:val="center"/>
              <w:rPr>
                <w:rFonts w:ascii="Times New Roman" w:hAnsi="Times New Roman"/>
                <w:sz w:val="28"/>
                <w:szCs w:val="28"/>
              </w:rPr>
            </w:pPr>
          </w:p>
          <w:p w14:paraId="4B508A9C">
            <w:pPr>
              <w:widowControl w:val="0"/>
              <w:autoSpaceDE w:val="0"/>
              <w:autoSpaceDN w:val="0"/>
              <w:adjustRightInd w:val="0"/>
              <w:spacing w:after="0" w:line="240" w:lineRule="auto"/>
              <w:jc w:val="center"/>
              <w:rPr>
                <w:rFonts w:ascii="Times New Roman" w:hAnsi="Times New Roman"/>
                <w:sz w:val="28"/>
                <w:szCs w:val="28"/>
              </w:rPr>
            </w:pPr>
          </w:p>
          <w:p w14:paraId="6641A66B">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70,00</w:t>
            </w:r>
          </w:p>
        </w:tc>
      </w:tr>
      <w:tr w14:paraId="41167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4707" w:type="dxa"/>
            <w:tcBorders>
              <w:top w:val="single" w:color="auto" w:sz="4" w:space="0"/>
              <w:left w:val="single" w:color="auto" w:sz="4" w:space="0"/>
              <w:bottom w:val="single" w:color="auto" w:sz="4" w:space="0"/>
              <w:right w:val="single" w:color="auto" w:sz="4" w:space="0"/>
            </w:tcBorders>
          </w:tcPr>
          <w:p w14:paraId="5A9618EA">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Поздравительные рамки</w:t>
            </w:r>
          </w:p>
        </w:tc>
        <w:tc>
          <w:tcPr>
            <w:tcW w:w="1984" w:type="dxa"/>
            <w:tcBorders>
              <w:top w:val="single" w:color="auto" w:sz="4" w:space="0"/>
              <w:left w:val="single" w:color="auto" w:sz="4" w:space="0"/>
              <w:bottom w:val="single" w:color="auto" w:sz="4" w:space="0"/>
              <w:right w:val="single" w:color="auto" w:sz="4" w:space="0"/>
            </w:tcBorders>
          </w:tcPr>
          <w:p w14:paraId="4B46BB46">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130</w:t>
            </w:r>
          </w:p>
        </w:tc>
        <w:tc>
          <w:tcPr>
            <w:tcW w:w="2697" w:type="dxa"/>
            <w:tcBorders>
              <w:top w:val="single" w:color="auto" w:sz="4" w:space="0"/>
              <w:left w:val="single" w:color="auto" w:sz="4" w:space="0"/>
              <w:bottom w:val="single" w:color="auto" w:sz="4" w:space="0"/>
              <w:right w:val="single" w:color="auto" w:sz="4" w:space="0"/>
            </w:tcBorders>
          </w:tcPr>
          <w:p w14:paraId="738B4657">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400,00</w:t>
            </w:r>
          </w:p>
        </w:tc>
      </w:tr>
    </w:tbl>
    <w:p w14:paraId="03148330">
      <w:pPr>
        <w:widowControl w:val="0"/>
        <w:autoSpaceDE w:val="0"/>
        <w:autoSpaceDN w:val="0"/>
        <w:spacing w:before="120" w:after="0" w:line="360" w:lineRule="auto"/>
        <w:ind w:firstLine="709"/>
        <w:jc w:val="both"/>
        <w:rPr>
          <w:rFonts w:ascii="Times New Roman" w:hAnsi="Times New Roman" w:eastAsia="Times New Roman" w:cs="Times New Roman"/>
          <w:sz w:val="28"/>
          <w:szCs w:val="28"/>
          <w:lang w:eastAsia="ru-RU"/>
        </w:rPr>
      </w:pPr>
    </w:p>
    <w:p w14:paraId="10F9B306">
      <w:pPr>
        <w:ind w:firstLine="708"/>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br w:type="page"/>
      </w:r>
      <w:r>
        <w:rPr>
          <w:rFonts w:ascii="Times New Roman" w:hAnsi="Times New Roman" w:eastAsia="Times New Roman" w:cs="Times New Roman"/>
          <w:sz w:val="28"/>
          <w:szCs w:val="28"/>
          <w:lang w:eastAsia="ru-RU"/>
        </w:rPr>
        <w:t xml:space="preserve">13. Затраты на приобретение канцелярских принадлежностей </w:t>
      </w:r>
      <w:r>
        <w:rPr>
          <w:rFonts w:ascii="Times New Roman" w:hAnsi="Times New Roman" w:eastAsia="Times New Roman" w:cs="Times New Roman"/>
          <w:position w:val="-12"/>
          <w:sz w:val="28"/>
          <w:szCs w:val="28"/>
          <w:lang w:eastAsia="ru-RU"/>
        </w:rPr>
        <w:drawing>
          <wp:inline distT="0" distB="0" distL="0" distR="0">
            <wp:extent cx="461010" cy="254635"/>
            <wp:effectExtent l="0" t="0" r="0" b="0"/>
            <wp:docPr id="88" name="Рисунок 88" descr="base_23792_85543_857"/>
            <wp:cNvGraphicFramePr/>
            <a:graphic xmlns:a="http://schemas.openxmlformats.org/drawingml/2006/main">
              <a:graphicData uri="http://schemas.openxmlformats.org/drawingml/2006/picture">
                <pic:pic xmlns:pic="http://schemas.openxmlformats.org/drawingml/2006/picture">
                  <pic:nvPicPr>
                    <pic:cNvPr id="88" name="Рисунок 88" descr="base_23792_85543_857"/>
                    <pic:cNvPicPr preferRelativeResize="0">
                      <a:picLocks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a:xfrm>
                      <a:off x="0" y="0"/>
                      <a:ext cx="461010" cy="254635"/>
                    </a:xfrm>
                    <a:prstGeom prst="rect">
                      <a:avLst/>
                    </a:prstGeom>
                    <a:noFill/>
                    <a:ln>
                      <a:noFill/>
                    </a:ln>
                  </pic:spPr>
                </pic:pic>
              </a:graphicData>
            </a:graphic>
          </wp:inline>
        </w:drawing>
      </w:r>
      <w:r>
        <w:rPr>
          <w:rFonts w:ascii="Times New Roman" w:hAnsi="Times New Roman" w:eastAsia="Times New Roman" w:cs="Times New Roman"/>
          <w:sz w:val="28"/>
          <w:szCs w:val="28"/>
          <w:lang w:eastAsia="ru-RU"/>
        </w:rPr>
        <w:t>, определяемые по формуле:</w:t>
      </w:r>
    </w:p>
    <w:p w14:paraId="5655B14A">
      <w:pPr>
        <w:widowControl w:val="0"/>
        <w:autoSpaceDE w:val="0"/>
        <w:autoSpaceDN w:val="0"/>
        <w:spacing w:after="0" w:line="360" w:lineRule="auto"/>
        <w:ind w:firstLine="709"/>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drawing>
          <wp:inline distT="0" distB="0" distL="0" distR="0">
            <wp:extent cx="2369185" cy="476885"/>
            <wp:effectExtent l="0" t="0" r="0" b="0"/>
            <wp:docPr id="87" name="Рисунок 87" descr="base_23792_85543_858"/>
            <wp:cNvGraphicFramePr/>
            <a:graphic xmlns:a="http://schemas.openxmlformats.org/drawingml/2006/main">
              <a:graphicData uri="http://schemas.openxmlformats.org/drawingml/2006/picture">
                <pic:pic xmlns:pic="http://schemas.openxmlformats.org/drawingml/2006/picture">
                  <pic:nvPicPr>
                    <pic:cNvPr id="87" name="Рисунок 87" descr="base_23792_85543_858"/>
                    <pic:cNvPicPr preferRelativeResize="0">
                      <a:picLocks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a:xfrm>
                      <a:off x="0" y="0"/>
                      <a:ext cx="2369185" cy="476885"/>
                    </a:xfrm>
                    <a:prstGeom prst="rect">
                      <a:avLst/>
                    </a:prstGeom>
                    <a:noFill/>
                    <a:ln>
                      <a:noFill/>
                    </a:ln>
                  </pic:spPr>
                </pic:pic>
              </a:graphicData>
            </a:graphic>
          </wp:inline>
        </w:drawing>
      </w:r>
    </w:p>
    <w:p w14:paraId="307F41FE">
      <w:pPr>
        <w:widowControl w:val="0"/>
        <w:autoSpaceDE w:val="0"/>
        <w:autoSpaceDN w:val="0"/>
        <w:spacing w:after="0" w:line="36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position w:val="-14"/>
          <w:sz w:val="28"/>
          <w:szCs w:val="28"/>
          <w:lang w:eastAsia="ru-RU"/>
        </w:rPr>
        <w:drawing>
          <wp:inline distT="0" distB="0" distL="0" distR="0">
            <wp:extent cx="438150" cy="257175"/>
            <wp:effectExtent l="0" t="0" r="0" b="0"/>
            <wp:docPr id="283" name="Рисунок 86" descr="base_23792_85543_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Рисунок 86" descr="base_23792_85543_859"/>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hAnsi="Times New Roman" w:eastAsia="Times New Roman" w:cs="Times New Roman"/>
          <w:sz w:val="28"/>
          <w:szCs w:val="28"/>
          <w:lang w:eastAsia="ru-RU"/>
        </w:rPr>
        <w:t xml:space="preserve"> – количество i-го предмета канцелярских принадлежностей в расчете на основного работника;</w:t>
      </w:r>
    </w:p>
    <w:p w14:paraId="1D138C82">
      <w:pPr>
        <w:widowControl w:val="0"/>
        <w:autoSpaceDE w:val="0"/>
        <w:autoSpaceDN w:val="0"/>
        <w:spacing w:after="0" w:line="36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position w:val="-12"/>
          <w:sz w:val="28"/>
          <w:szCs w:val="28"/>
          <w:lang w:eastAsia="ru-RU"/>
        </w:rPr>
        <w:drawing>
          <wp:inline distT="0" distB="0" distL="0" distR="0">
            <wp:extent cx="285750" cy="247650"/>
            <wp:effectExtent l="0" t="0" r="0" b="0"/>
            <wp:docPr id="284" name="Рисунок 85" descr="base_23792_85543_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Рисунок 85" descr="base_23792_85543_860"/>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a:xfrm>
                      <a:off x="0" y="0"/>
                      <a:ext cx="285750" cy="247650"/>
                    </a:xfrm>
                    <a:prstGeom prst="rect">
                      <a:avLst/>
                    </a:prstGeom>
                    <a:noFill/>
                    <a:ln>
                      <a:noFill/>
                    </a:ln>
                  </pic:spPr>
                </pic:pic>
              </a:graphicData>
            </a:graphic>
          </wp:inline>
        </w:drawing>
      </w:r>
      <w:r>
        <w:rPr>
          <w:rFonts w:ascii="Times New Roman" w:hAnsi="Times New Roman" w:eastAsia="Times New Roman" w:cs="Times New Roman"/>
          <w:sz w:val="28"/>
          <w:szCs w:val="28"/>
          <w:lang w:eastAsia="ru-RU"/>
        </w:rPr>
        <w:t xml:space="preserve"> – расчетная численность основных работников, определяемая в соответствии с </w:t>
      </w:r>
      <w:r>
        <w:fldChar w:fldCharType="begin"/>
      </w:r>
      <w:r>
        <w:instrText xml:space="preserve"> HYPERLINK "consultantplus://offline/ref=A37521EA361ED50104108DD2F9260606E9FCD152F41111A6CD2220F817507A938366565BBEB97391Y0p1I" </w:instrText>
      </w:r>
      <w:r>
        <w:fldChar w:fldCharType="separate"/>
      </w:r>
      <w:r>
        <w:rPr>
          <w:rFonts w:ascii="Times New Roman" w:hAnsi="Times New Roman" w:eastAsia="Times New Roman" w:cs="Times New Roman"/>
          <w:sz w:val="28"/>
          <w:szCs w:val="28"/>
          <w:lang w:eastAsia="ru-RU"/>
        </w:rPr>
        <w:t>пунктами 17</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xml:space="preserve">, </w:t>
      </w:r>
      <w:r>
        <w:fldChar w:fldCharType="begin"/>
      </w:r>
      <w:r>
        <w:instrText xml:space="preserve"> HYPERLINK "consultantplus://offline/ref=A37521EA361ED50104108DD2F9260606E9FCD152F41111A6CD2220F817507A938366565BBEB97390Y0p3I" </w:instrText>
      </w:r>
      <w:r>
        <w:fldChar w:fldCharType="separate"/>
      </w:r>
      <w:r>
        <w:rPr>
          <w:rFonts w:ascii="Times New Roman" w:hAnsi="Times New Roman" w:eastAsia="Times New Roman" w:cs="Times New Roman"/>
          <w:sz w:val="28"/>
          <w:szCs w:val="28"/>
          <w:lang w:eastAsia="ru-RU"/>
        </w:rPr>
        <w:t>18</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xml:space="preserve">, </w:t>
      </w:r>
      <w:r>
        <w:fldChar w:fldCharType="begin"/>
      </w:r>
      <w:r>
        <w:instrText xml:space="preserve"> HYPERLINK "consultantplus://offline/ref=A37521EA361ED50104108DD2F9260606E9FCD152F41111A6CD2220F817507A938366565BBEB97099Y0p4I" </w:instrText>
      </w:r>
      <w:r>
        <w:fldChar w:fldCharType="separate"/>
      </w:r>
      <w:r>
        <w:rPr>
          <w:rFonts w:ascii="Times New Roman" w:hAnsi="Times New Roman" w:eastAsia="Times New Roman" w:cs="Times New Roman"/>
          <w:sz w:val="28"/>
          <w:szCs w:val="28"/>
          <w:lang w:eastAsia="ru-RU"/>
        </w:rPr>
        <w:t>21</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xml:space="preserve">, </w:t>
      </w:r>
      <w:r>
        <w:fldChar w:fldCharType="begin"/>
      </w:r>
      <w:r>
        <w:instrText xml:space="preserve"> HYPERLINK "consultantplus://offline/ref=A37521EA361ED50104108DD2F9260606E9FCD152F41111A6CD2220F817507A938366565BBEB97099Y0p3I" </w:instrText>
      </w:r>
      <w:r>
        <w:fldChar w:fldCharType="separate"/>
      </w:r>
      <w:r>
        <w:rPr>
          <w:rFonts w:ascii="Times New Roman" w:hAnsi="Times New Roman" w:eastAsia="Times New Roman" w:cs="Times New Roman"/>
          <w:sz w:val="28"/>
          <w:szCs w:val="28"/>
          <w:lang w:eastAsia="ru-RU"/>
        </w:rPr>
        <w:t>22</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xml:space="preserve"> Общих правил определения нормативных затрат;</w:t>
      </w:r>
    </w:p>
    <w:p w14:paraId="12022BE6">
      <w:pPr>
        <w:widowControl w:val="0"/>
        <w:autoSpaceDE w:val="0"/>
        <w:autoSpaceDN w:val="0"/>
        <w:spacing w:after="0" w:line="36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position w:val="-14"/>
          <w:sz w:val="28"/>
          <w:szCs w:val="28"/>
          <w:lang w:eastAsia="ru-RU"/>
        </w:rPr>
        <w:drawing>
          <wp:inline distT="0" distB="0" distL="0" distR="0">
            <wp:extent cx="371475" cy="257175"/>
            <wp:effectExtent l="0" t="0" r="0" b="0"/>
            <wp:docPr id="285" name="Рисунок 84" descr="base_23792_85543_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Рисунок 84" descr="base_23792_85543_861"/>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eastAsia="Times New Roman" w:cs="Times New Roman"/>
          <w:sz w:val="28"/>
          <w:szCs w:val="28"/>
          <w:lang w:eastAsia="ru-RU"/>
        </w:rPr>
        <w:t xml:space="preserve"> – цена i-го предмета канцелярских принадлежностей.</w:t>
      </w:r>
    </w:p>
    <w:p w14:paraId="785AD3C5">
      <w:pPr>
        <w:widowControl w:val="0"/>
        <w:autoSpaceDE w:val="0"/>
        <w:autoSpaceDN w:val="0"/>
        <w:spacing w:after="0" w:line="36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Расчет затрат производится в соответствии с нормативами согласно таблице №32. </w:t>
      </w:r>
    </w:p>
    <w:p w14:paraId="4F7B15C4">
      <w:pPr>
        <w:jc w:val="right"/>
        <w:rPr>
          <w:rFonts w:ascii="Times New Roman" w:hAnsi="Times New Roman" w:cs="Times New Roman"/>
          <w:sz w:val="28"/>
          <w:szCs w:val="28"/>
        </w:rPr>
      </w:pPr>
      <w:r>
        <w:rPr>
          <w:rFonts w:ascii="Times New Roman" w:hAnsi="Times New Roman" w:cs="Times New Roman"/>
          <w:sz w:val="28"/>
          <w:szCs w:val="28"/>
        </w:rPr>
        <w:t>Таблица №32</w:t>
      </w:r>
    </w:p>
    <w:p w14:paraId="3FFEDAF1">
      <w:pPr>
        <w:autoSpaceDE w:val="0"/>
        <w:autoSpaceDN w:val="0"/>
        <w:adjustRightInd w:val="0"/>
        <w:spacing w:after="0" w:line="240" w:lineRule="auto"/>
        <w:jc w:val="center"/>
        <w:rPr>
          <w:rFonts w:ascii="Times New Roman" w:hAnsi="Times New Roman" w:cs="Times New Roman" w:eastAsiaTheme="minorEastAsia"/>
          <w:bCs/>
          <w:sz w:val="28"/>
          <w:szCs w:val="28"/>
          <w:lang w:eastAsia="ru-RU"/>
        </w:rPr>
      </w:pPr>
      <w:r>
        <w:rPr>
          <w:rFonts w:ascii="Times New Roman" w:hAnsi="Times New Roman" w:cs="Times New Roman" w:eastAsiaTheme="minorEastAsia"/>
          <w:bCs/>
          <w:sz w:val="28"/>
          <w:szCs w:val="28"/>
          <w:lang w:eastAsia="ru-RU"/>
        </w:rPr>
        <w:t xml:space="preserve">  Нормативы затрат на приобретение канцелярских принадлежностей министерства и агентства.</w:t>
      </w:r>
    </w:p>
    <w:p w14:paraId="2F22281E">
      <w:pPr>
        <w:autoSpaceDE w:val="0"/>
        <w:autoSpaceDN w:val="0"/>
        <w:adjustRightInd w:val="0"/>
        <w:spacing w:after="0" w:line="240" w:lineRule="auto"/>
        <w:ind w:firstLine="709"/>
        <w:jc w:val="center"/>
        <w:rPr>
          <w:rFonts w:ascii="Times New Roman" w:hAnsi="Times New Roman" w:cs="Times New Roman" w:eastAsiaTheme="minorEastAsia"/>
          <w:bCs/>
          <w:sz w:val="28"/>
          <w:szCs w:val="28"/>
          <w:lang w:eastAsia="ru-RU"/>
        </w:rPr>
      </w:pPr>
    </w:p>
    <w:tbl>
      <w:tblPr>
        <w:tblStyle w:val="3"/>
        <w:tblW w:w="963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23"/>
        <w:gridCol w:w="1389"/>
        <w:gridCol w:w="1872"/>
        <w:gridCol w:w="1955"/>
      </w:tblGrid>
      <w:tr w14:paraId="0C5D9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4423" w:type="dxa"/>
            <w:shd w:val="clear" w:color="auto" w:fill="auto"/>
          </w:tcPr>
          <w:p w14:paraId="4C69D533">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канцелярских принадлежностей</w:t>
            </w:r>
          </w:p>
        </w:tc>
        <w:tc>
          <w:tcPr>
            <w:tcW w:w="1389" w:type="dxa"/>
          </w:tcPr>
          <w:p w14:paraId="1324D84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Единица измерения</w:t>
            </w:r>
          </w:p>
        </w:tc>
        <w:tc>
          <w:tcPr>
            <w:tcW w:w="1872" w:type="dxa"/>
            <w:shd w:val="clear" w:color="auto" w:fill="auto"/>
          </w:tcPr>
          <w:p w14:paraId="0788D71C">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w:t>
            </w:r>
          </w:p>
          <w:p w14:paraId="27B10811">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 1 работника (в год)</w:t>
            </w:r>
          </w:p>
        </w:tc>
        <w:tc>
          <w:tcPr>
            <w:tcW w:w="1955" w:type="dxa"/>
            <w:shd w:val="clear" w:color="auto" w:fill="auto"/>
          </w:tcPr>
          <w:p w14:paraId="4D8F452C">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14:paraId="07452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4423" w:type="dxa"/>
            <w:shd w:val="clear" w:color="auto" w:fill="auto"/>
          </w:tcPr>
          <w:p w14:paraId="7C78F2E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389" w:type="dxa"/>
          </w:tcPr>
          <w:p w14:paraId="470BE9C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872" w:type="dxa"/>
            <w:shd w:val="clear" w:color="auto" w:fill="auto"/>
          </w:tcPr>
          <w:p w14:paraId="2F135693">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955" w:type="dxa"/>
            <w:shd w:val="clear" w:color="auto" w:fill="auto"/>
          </w:tcPr>
          <w:p w14:paraId="13ED077E">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r>
      <w:tr w14:paraId="0553A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4423" w:type="dxa"/>
            <w:shd w:val="clear" w:color="auto" w:fill="auto"/>
          </w:tcPr>
          <w:p w14:paraId="0323BB38">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Антистеплер</w:t>
            </w:r>
          </w:p>
        </w:tc>
        <w:tc>
          <w:tcPr>
            <w:tcW w:w="1389" w:type="dxa"/>
          </w:tcPr>
          <w:p w14:paraId="0CD1F78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E121258">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4656A70E">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w:t>
            </w:r>
          </w:p>
        </w:tc>
      </w:tr>
      <w:tr w14:paraId="65498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4423" w:type="dxa"/>
            <w:shd w:val="clear" w:color="auto" w:fill="auto"/>
          </w:tcPr>
          <w:p w14:paraId="744B99D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Бирка нагрудная, бейдж пластиковый</w:t>
            </w:r>
          </w:p>
        </w:tc>
        <w:tc>
          <w:tcPr>
            <w:tcW w:w="1389" w:type="dxa"/>
          </w:tcPr>
          <w:p w14:paraId="135A3CCE">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7DB6103">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06257015">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60,00</w:t>
            </w:r>
          </w:p>
        </w:tc>
      </w:tr>
      <w:tr w14:paraId="373DE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51CFDA76">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Блок бумаги для записей </w:t>
            </w:r>
          </w:p>
        </w:tc>
        <w:tc>
          <w:tcPr>
            <w:tcW w:w="1389" w:type="dxa"/>
          </w:tcPr>
          <w:p w14:paraId="2DFCC74C">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5766DB3">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3B5B439E">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250,00</w:t>
            </w:r>
          </w:p>
        </w:tc>
      </w:tr>
      <w:tr w14:paraId="6868B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5D74E575">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 с клеевым краем 50*50 мм</w:t>
            </w:r>
          </w:p>
        </w:tc>
        <w:tc>
          <w:tcPr>
            <w:tcW w:w="1389" w:type="dxa"/>
          </w:tcPr>
          <w:p w14:paraId="6893A2D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2DB6DE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3712D456">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120,00</w:t>
            </w:r>
          </w:p>
        </w:tc>
      </w:tr>
      <w:tr w14:paraId="3EC4C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4423" w:type="dxa"/>
            <w:shd w:val="clear" w:color="auto" w:fill="auto"/>
          </w:tcPr>
          <w:p w14:paraId="14263DEE">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 с клеевым краем 76*76 мм</w:t>
            </w:r>
          </w:p>
        </w:tc>
        <w:tc>
          <w:tcPr>
            <w:tcW w:w="1389" w:type="dxa"/>
          </w:tcPr>
          <w:p w14:paraId="1A228F68">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AE4483F">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62B46CF4">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14:paraId="3A0D9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1DCE1956">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 с клеевым краем 40*50 мм</w:t>
            </w:r>
          </w:p>
        </w:tc>
        <w:tc>
          <w:tcPr>
            <w:tcW w:w="1389" w:type="dxa"/>
          </w:tcPr>
          <w:p w14:paraId="06AEA9A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5AE0722">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3054A368">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w:t>
            </w:r>
          </w:p>
        </w:tc>
      </w:tr>
      <w:tr w14:paraId="091C5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1B2ED891">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 с клеевым краем 75*113 мм</w:t>
            </w:r>
          </w:p>
        </w:tc>
        <w:tc>
          <w:tcPr>
            <w:tcW w:w="1389" w:type="dxa"/>
          </w:tcPr>
          <w:p w14:paraId="6F36F27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9FFA2A2">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4F0EE2B7">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350,00</w:t>
            </w:r>
          </w:p>
        </w:tc>
      </w:tr>
      <w:tr w14:paraId="594FD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4423" w:type="dxa"/>
            <w:shd w:val="clear" w:color="auto" w:fill="auto"/>
          </w:tcPr>
          <w:p w14:paraId="3570D975">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Блокнот 60 листов А5 </w:t>
            </w:r>
          </w:p>
          <w:p w14:paraId="455326D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Би Джи 25/50</w:t>
            </w:r>
          </w:p>
        </w:tc>
        <w:tc>
          <w:tcPr>
            <w:tcW w:w="1389" w:type="dxa"/>
          </w:tcPr>
          <w:p w14:paraId="22069918">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22BF905">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1BFD23B6">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14:paraId="1A80E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65F9520E">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Блокнот для конференций с символикой</w:t>
            </w:r>
          </w:p>
        </w:tc>
        <w:tc>
          <w:tcPr>
            <w:tcW w:w="1389" w:type="dxa"/>
          </w:tcPr>
          <w:p w14:paraId="28CDCDDC">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A5F448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w:t>
            </w:r>
          </w:p>
        </w:tc>
        <w:tc>
          <w:tcPr>
            <w:tcW w:w="1955" w:type="dxa"/>
            <w:shd w:val="clear" w:color="auto" w:fill="auto"/>
          </w:tcPr>
          <w:p w14:paraId="33D5573F">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250,00</w:t>
            </w:r>
          </w:p>
        </w:tc>
      </w:tr>
      <w:tr w14:paraId="5AA4A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5D6FE873">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А4 (пачка)</w:t>
            </w:r>
          </w:p>
        </w:tc>
        <w:tc>
          <w:tcPr>
            <w:tcW w:w="1389" w:type="dxa"/>
          </w:tcPr>
          <w:p w14:paraId="2935632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029FE81">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w:t>
            </w:r>
          </w:p>
        </w:tc>
        <w:tc>
          <w:tcPr>
            <w:tcW w:w="1955" w:type="dxa"/>
            <w:shd w:val="clear" w:color="auto" w:fill="auto"/>
          </w:tcPr>
          <w:p w14:paraId="66154FD6">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14:paraId="08197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04E290F5">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А3 (пачка)</w:t>
            </w:r>
          </w:p>
        </w:tc>
        <w:tc>
          <w:tcPr>
            <w:tcW w:w="1389" w:type="dxa"/>
          </w:tcPr>
          <w:p w14:paraId="02DFAB46">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9BA4C9B">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5B19CEA5">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900,00</w:t>
            </w:r>
          </w:p>
        </w:tc>
      </w:tr>
      <w:tr w14:paraId="1101E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7ACE9E61">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w:t>
            </w:r>
          </w:p>
        </w:tc>
        <w:tc>
          <w:tcPr>
            <w:tcW w:w="1389" w:type="dxa"/>
          </w:tcPr>
          <w:p w14:paraId="639EE686">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1FE831C">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7BF8C09B">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14:paraId="4A545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775D32C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Диски SD-R (700 Мб)</w:t>
            </w:r>
          </w:p>
        </w:tc>
        <w:tc>
          <w:tcPr>
            <w:tcW w:w="1389" w:type="dxa"/>
          </w:tcPr>
          <w:p w14:paraId="4D70ED08">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0421A5C">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180 на учреждение</w:t>
            </w:r>
          </w:p>
        </w:tc>
        <w:tc>
          <w:tcPr>
            <w:tcW w:w="1955" w:type="dxa"/>
            <w:shd w:val="clear" w:color="auto" w:fill="auto"/>
          </w:tcPr>
          <w:p w14:paraId="02F9F5B8">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14:paraId="2CE59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3C785976">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Доска – планшет</w:t>
            </w:r>
          </w:p>
        </w:tc>
        <w:tc>
          <w:tcPr>
            <w:tcW w:w="1389" w:type="dxa"/>
          </w:tcPr>
          <w:p w14:paraId="700CD72F">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7A825AE">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48BA4493">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14:paraId="69401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388D2E57">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Дырокол</w:t>
            </w:r>
          </w:p>
        </w:tc>
        <w:tc>
          <w:tcPr>
            <w:tcW w:w="1389" w:type="dxa"/>
          </w:tcPr>
          <w:p w14:paraId="1B3783DE">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BCAA155">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679C10DE">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800,00</w:t>
            </w:r>
          </w:p>
        </w:tc>
      </w:tr>
      <w:tr w14:paraId="79FBA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1FE21724">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Ежедневник</w:t>
            </w:r>
          </w:p>
        </w:tc>
        <w:tc>
          <w:tcPr>
            <w:tcW w:w="1389" w:type="dxa"/>
          </w:tcPr>
          <w:p w14:paraId="3F9E77AD">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D61F925">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729FDD5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600,00</w:t>
            </w:r>
          </w:p>
        </w:tc>
      </w:tr>
      <w:tr w14:paraId="4784E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0407D7B7">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Журнал учета для служебной корреспонденции, а также иные специализированные журналы</w:t>
            </w:r>
          </w:p>
        </w:tc>
        <w:tc>
          <w:tcPr>
            <w:tcW w:w="1389" w:type="dxa"/>
          </w:tcPr>
          <w:p w14:paraId="3BEB290D">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7929996">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на учреждение</w:t>
            </w:r>
          </w:p>
        </w:tc>
        <w:tc>
          <w:tcPr>
            <w:tcW w:w="1955" w:type="dxa"/>
            <w:shd w:val="clear" w:color="auto" w:fill="auto"/>
          </w:tcPr>
          <w:p w14:paraId="5E1ADC5E">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400,00</w:t>
            </w:r>
          </w:p>
        </w:tc>
      </w:tr>
      <w:tr w14:paraId="4671C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467D0CFF">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Зажимы для бумаги </w:t>
            </w:r>
          </w:p>
        </w:tc>
        <w:tc>
          <w:tcPr>
            <w:tcW w:w="1389" w:type="dxa"/>
          </w:tcPr>
          <w:p w14:paraId="46687744">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30B4435F">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0E895AEC">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230,00</w:t>
            </w:r>
          </w:p>
        </w:tc>
      </w:tr>
      <w:tr w14:paraId="01E93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15F3197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Закладка клейкая пластиковая</w:t>
            </w:r>
          </w:p>
        </w:tc>
        <w:tc>
          <w:tcPr>
            <w:tcW w:w="1389" w:type="dxa"/>
          </w:tcPr>
          <w:p w14:paraId="2A239C7B">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3336D667">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59CBFE57">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130,00</w:t>
            </w:r>
          </w:p>
        </w:tc>
      </w:tr>
      <w:tr w14:paraId="741EB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04E97EA6">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Игла для сшивания документов</w:t>
            </w:r>
          </w:p>
        </w:tc>
        <w:tc>
          <w:tcPr>
            <w:tcW w:w="1389" w:type="dxa"/>
          </w:tcPr>
          <w:p w14:paraId="0CAC4A59">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8ACF9F8">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 на учреждение</w:t>
            </w:r>
          </w:p>
        </w:tc>
        <w:tc>
          <w:tcPr>
            <w:tcW w:w="1955" w:type="dxa"/>
            <w:shd w:val="clear" w:color="auto" w:fill="auto"/>
          </w:tcPr>
          <w:p w14:paraId="2EFE7D6E">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14:paraId="1BBB0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69E4C0B4">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Календарь перекидной настольный</w:t>
            </w:r>
          </w:p>
        </w:tc>
        <w:tc>
          <w:tcPr>
            <w:tcW w:w="1389" w:type="dxa"/>
          </w:tcPr>
          <w:p w14:paraId="07C1A7C4">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B4DC3AD">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61588389">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14:paraId="32C51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06F68168">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Календарь настенный</w:t>
            </w:r>
          </w:p>
        </w:tc>
        <w:tc>
          <w:tcPr>
            <w:tcW w:w="1389" w:type="dxa"/>
          </w:tcPr>
          <w:p w14:paraId="39CF27D5">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B37E0EE">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09BD0067">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14:paraId="33099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28D2916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Калькулятор</w:t>
            </w:r>
          </w:p>
        </w:tc>
        <w:tc>
          <w:tcPr>
            <w:tcW w:w="1389" w:type="dxa"/>
          </w:tcPr>
          <w:p w14:paraId="3121B314">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4DFD93F">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4A9E395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r w14:paraId="70AD6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36C8CA8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Канцелярский набор для руководителя из дерева или др.</w:t>
            </w:r>
          </w:p>
        </w:tc>
        <w:tc>
          <w:tcPr>
            <w:tcW w:w="1389" w:type="dxa"/>
          </w:tcPr>
          <w:p w14:paraId="500EDAB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4E86182">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41F1B4AF">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10 000,00</w:t>
            </w:r>
          </w:p>
        </w:tc>
      </w:tr>
      <w:tr w14:paraId="19E16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206CA2FB">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Канцелярский набор (пластик)</w:t>
            </w:r>
          </w:p>
        </w:tc>
        <w:tc>
          <w:tcPr>
            <w:tcW w:w="1389" w:type="dxa"/>
          </w:tcPr>
          <w:p w14:paraId="02B53CA5">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DE44806">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 </w:t>
            </w:r>
          </w:p>
        </w:tc>
        <w:tc>
          <w:tcPr>
            <w:tcW w:w="1955" w:type="dxa"/>
            <w:shd w:val="clear" w:color="auto" w:fill="auto"/>
          </w:tcPr>
          <w:p w14:paraId="39AC1654">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600,00</w:t>
            </w:r>
          </w:p>
        </w:tc>
      </w:tr>
      <w:tr w14:paraId="7D05E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7124F038">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Карандаш без ластика </w:t>
            </w:r>
          </w:p>
        </w:tc>
        <w:tc>
          <w:tcPr>
            <w:tcW w:w="1389" w:type="dxa"/>
          </w:tcPr>
          <w:p w14:paraId="31207946">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5D93FAE">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3A6CDA77">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40,00</w:t>
            </w:r>
          </w:p>
        </w:tc>
      </w:tr>
      <w:tr w14:paraId="10833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65CBFEE2">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Карандаш механический</w:t>
            </w:r>
          </w:p>
        </w:tc>
        <w:tc>
          <w:tcPr>
            <w:tcW w:w="1389" w:type="dxa"/>
          </w:tcPr>
          <w:p w14:paraId="5DFE0009">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4545499">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623E7109">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14:paraId="64D20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138D78F5">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Клей-карандаш</w:t>
            </w:r>
          </w:p>
        </w:tc>
        <w:tc>
          <w:tcPr>
            <w:tcW w:w="1389" w:type="dxa"/>
          </w:tcPr>
          <w:p w14:paraId="35661CB5">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9680D18">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17CB142F">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14:paraId="260F4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68624543">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Клей ПВА</w:t>
            </w:r>
          </w:p>
        </w:tc>
        <w:tc>
          <w:tcPr>
            <w:tcW w:w="1389" w:type="dxa"/>
          </w:tcPr>
          <w:p w14:paraId="1D080E22">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912EC51">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4600C195">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14:paraId="66BFB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33712121">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Книга учёта А4</w:t>
            </w:r>
          </w:p>
        </w:tc>
        <w:tc>
          <w:tcPr>
            <w:tcW w:w="1389" w:type="dxa"/>
          </w:tcPr>
          <w:p w14:paraId="1610C07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BB34D2D">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 на учреждение</w:t>
            </w:r>
          </w:p>
        </w:tc>
        <w:tc>
          <w:tcPr>
            <w:tcW w:w="1955" w:type="dxa"/>
            <w:shd w:val="clear" w:color="auto" w:fill="auto"/>
          </w:tcPr>
          <w:p w14:paraId="48A46B93">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14:paraId="65DC6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2F80CEF2">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Книжка записная А5 (алфавитная)</w:t>
            </w:r>
          </w:p>
        </w:tc>
        <w:tc>
          <w:tcPr>
            <w:tcW w:w="1389" w:type="dxa"/>
          </w:tcPr>
          <w:p w14:paraId="7B8FF519">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CBAC275">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03C2DE72">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14:paraId="6E499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3EEE3D9E">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Кнопки-гвоздики силовые</w:t>
            </w:r>
          </w:p>
        </w:tc>
        <w:tc>
          <w:tcPr>
            <w:tcW w:w="1389" w:type="dxa"/>
          </w:tcPr>
          <w:p w14:paraId="54BEAF56">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32596763">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2ADFFF15">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100,00 </w:t>
            </w:r>
          </w:p>
        </w:tc>
      </w:tr>
      <w:tr w14:paraId="18E1F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47E27F95">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Корзина для бумаг</w:t>
            </w:r>
          </w:p>
        </w:tc>
        <w:tc>
          <w:tcPr>
            <w:tcW w:w="1389" w:type="dxa"/>
          </w:tcPr>
          <w:p w14:paraId="57454594">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78B1F6D">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4F415836">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14:paraId="116F5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53063EB6">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Короб архивный</w:t>
            </w:r>
          </w:p>
        </w:tc>
        <w:tc>
          <w:tcPr>
            <w:tcW w:w="1389" w:type="dxa"/>
          </w:tcPr>
          <w:p w14:paraId="31A0B46B">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D3640B6">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255D9023">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230,00</w:t>
            </w:r>
          </w:p>
        </w:tc>
      </w:tr>
      <w:tr w14:paraId="6CDF1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53DC1AE8">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Корректирующая лента </w:t>
            </w:r>
          </w:p>
        </w:tc>
        <w:tc>
          <w:tcPr>
            <w:tcW w:w="1389" w:type="dxa"/>
          </w:tcPr>
          <w:p w14:paraId="3E010EFF">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9A928E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7991E3D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14:paraId="4A92C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44A2528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Корректирующая жидкость </w:t>
            </w:r>
          </w:p>
        </w:tc>
        <w:tc>
          <w:tcPr>
            <w:tcW w:w="1389" w:type="dxa"/>
          </w:tcPr>
          <w:p w14:paraId="22459A0E">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333D2B7">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5627A932">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14:paraId="2C760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7AF0BAF4">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Корректирующая ручка</w:t>
            </w:r>
          </w:p>
        </w:tc>
        <w:tc>
          <w:tcPr>
            <w:tcW w:w="1389" w:type="dxa"/>
          </w:tcPr>
          <w:p w14:paraId="00412086">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D896E26">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7C538DDB">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lang w:val="en-US"/>
              </w:rPr>
              <w:t>10</w:t>
            </w:r>
            <w:r>
              <w:rPr>
                <w:rFonts w:ascii="Times New Roman" w:hAnsi="Times New Roman" w:cs="Times New Roman"/>
                <w:sz w:val="28"/>
                <w:szCs w:val="28"/>
              </w:rPr>
              <w:t>0,00</w:t>
            </w:r>
          </w:p>
        </w:tc>
      </w:tr>
      <w:tr w14:paraId="31931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46347BD9">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Конверт</w:t>
            </w:r>
          </w:p>
        </w:tc>
        <w:tc>
          <w:tcPr>
            <w:tcW w:w="1389" w:type="dxa"/>
          </w:tcPr>
          <w:p w14:paraId="668007C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8B63B5F">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750</w:t>
            </w:r>
          </w:p>
        </w:tc>
        <w:tc>
          <w:tcPr>
            <w:tcW w:w="1955" w:type="dxa"/>
            <w:shd w:val="clear" w:color="auto" w:fill="auto"/>
          </w:tcPr>
          <w:p w14:paraId="6210978E">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hint="default" w:ascii="Times New Roman" w:hAnsi="Times New Roman" w:cs="Times New Roman"/>
                <w:sz w:val="28"/>
                <w:szCs w:val="28"/>
                <w:lang w:val="ru-RU"/>
              </w:rPr>
              <w:t>1</w:t>
            </w:r>
            <w:r>
              <w:rPr>
                <w:rFonts w:ascii="Times New Roman" w:hAnsi="Times New Roman" w:cs="Times New Roman"/>
                <w:sz w:val="28"/>
                <w:szCs w:val="28"/>
              </w:rPr>
              <w:t>30,00</w:t>
            </w:r>
          </w:p>
        </w:tc>
      </w:tr>
      <w:tr w14:paraId="416CE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1682FDC1">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Конверт пластиковый</w:t>
            </w:r>
          </w:p>
        </w:tc>
        <w:tc>
          <w:tcPr>
            <w:tcW w:w="1389" w:type="dxa"/>
          </w:tcPr>
          <w:p w14:paraId="3A4D85F8">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B193F0E">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2294CC43">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60,00</w:t>
            </w:r>
          </w:p>
        </w:tc>
      </w:tr>
      <w:tr w14:paraId="31238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6A7FE74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Крафт-бумага (10-20 см)</w:t>
            </w:r>
          </w:p>
        </w:tc>
        <w:tc>
          <w:tcPr>
            <w:tcW w:w="1389" w:type="dxa"/>
          </w:tcPr>
          <w:p w14:paraId="47D8E024">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рулон</w:t>
            </w:r>
          </w:p>
        </w:tc>
        <w:tc>
          <w:tcPr>
            <w:tcW w:w="1872" w:type="dxa"/>
            <w:shd w:val="clear" w:color="auto" w:fill="auto"/>
          </w:tcPr>
          <w:p w14:paraId="661BB23F">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4F920DAD">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14:paraId="7AC5D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409AB47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Краска штемпельная</w:t>
            </w:r>
          </w:p>
        </w:tc>
        <w:tc>
          <w:tcPr>
            <w:tcW w:w="1389" w:type="dxa"/>
          </w:tcPr>
          <w:p w14:paraId="0A091059">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8C4C9C7">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507D878C">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250,00</w:t>
            </w:r>
          </w:p>
        </w:tc>
      </w:tr>
      <w:tr w14:paraId="6E86D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743D35F7">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Ластик </w:t>
            </w:r>
          </w:p>
        </w:tc>
        <w:tc>
          <w:tcPr>
            <w:tcW w:w="1389" w:type="dxa"/>
          </w:tcPr>
          <w:p w14:paraId="6B4C47A1">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864D1E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w:t>
            </w:r>
          </w:p>
        </w:tc>
        <w:tc>
          <w:tcPr>
            <w:tcW w:w="1955" w:type="dxa"/>
            <w:shd w:val="clear" w:color="auto" w:fill="auto"/>
          </w:tcPr>
          <w:p w14:paraId="7ED5E388">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w:t>
            </w:r>
          </w:p>
        </w:tc>
      </w:tr>
      <w:tr w14:paraId="1DB7E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7D721981">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Лезвия для ножей</w:t>
            </w:r>
          </w:p>
        </w:tc>
        <w:tc>
          <w:tcPr>
            <w:tcW w:w="1389" w:type="dxa"/>
          </w:tcPr>
          <w:p w14:paraId="1D497203">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5A79DC1">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2A5BC597">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80,00 </w:t>
            </w:r>
          </w:p>
        </w:tc>
      </w:tr>
      <w:tr w14:paraId="0207A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1554FDFE">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Лента киперная</w:t>
            </w:r>
          </w:p>
        </w:tc>
        <w:tc>
          <w:tcPr>
            <w:tcW w:w="1389" w:type="dxa"/>
          </w:tcPr>
          <w:p w14:paraId="78A0B4E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рулон</w:t>
            </w:r>
          </w:p>
        </w:tc>
        <w:tc>
          <w:tcPr>
            <w:tcW w:w="1872" w:type="dxa"/>
            <w:shd w:val="clear" w:color="auto" w:fill="auto"/>
          </w:tcPr>
          <w:p w14:paraId="48496553">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42C105C8">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14:paraId="6F0B4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46E5C259">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Линейка</w:t>
            </w:r>
          </w:p>
        </w:tc>
        <w:tc>
          <w:tcPr>
            <w:tcW w:w="1389" w:type="dxa"/>
          </w:tcPr>
          <w:p w14:paraId="775D9A49">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CF4C712">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3585F4C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w:t>
            </w:r>
          </w:p>
        </w:tc>
      </w:tr>
      <w:tr w14:paraId="515B6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1E1E6A2D">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Лоток вертикальный для бумаг</w:t>
            </w:r>
          </w:p>
        </w:tc>
        <w:tc>
          <w:tcPr>
            <w:tcW w:w="1389" w:type="dxa"/>
          </w:tcPr>
          <w:p w14:paraId="0FDC080F">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72DD469">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043A7306">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450,00</w:t>
            </w:r>
          </w:p>
        </w:tc>
      </w:tr>
      <w:tr w14:paraId="006E8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3B836897">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Лоток горизонтальный для бумаг</w:t>
            </w:r>
          </w:p>
        </w:tc>
        <w:tc>
          <w:tcPr>
            <w:tcW w:w="1389" w:type="dxa"/>
          </w:tcPr>
          <w:p w14:paraId="3B503416">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EEAF18F">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6641ABF3">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450,00</w:t>
            </w:r>
          </w:p>
        </w:tc>
      </w:tr>
      <w:tr w14:paraId="4618C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7590DC1F">
            <w:pPr>
              <w:widowControl w:val="0"/>
              <w:autoSpaceDE w:val="0"/>
              <w:autoSpaceDN w:val="0"/>
              <w:adjustRightInd w:val="0"/>
              <w:spacing w:after="0" w:line="240" w:lineRule="auto"/>
              <w:rPr>
                <w:rFonts w:ascii="Times New Roman" w:hAnsi="Times New Roman" w:cs="Times New Roman"/>
                <w:sz w:val="28"/>
                <w:szCs w:val="28"/>
                <w:highlight w:val="yellow"/>
              </w:rPr>
            </w:pPr>
            <w:r>
              <w:rPr>
                <w:rFonts w:ascii="Times New Roman" w:hAnsi="Times New Roman" w:cs="Times New Roman"/>
                <w:sz w:val="28"/>
                <w:szCs w:val="28"/>
              </w:rPr>
              <w:t xml:space="preserve">Магниты для доски </w:t>
            </w:r>
          </w:p>
        </w:tc>
        <w:tc>
          <w:tcPr>
            <w:tcW w:w="1389" w:type="dxa"/>
          </w:tcPr>
          <w:p w14:paraId="515991B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7436F3A9">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7B2E9BB8">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14:paraId="42225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2A6C5311">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Маркер</w:t>
            </w:r>
          </w:p>
        </w:tc>
        <w:tc>
          <w:tcPr>
            <w:tcW w:w="1389" w:type="dxa"/>
          </w:tcPr>
          <w:p w14:paraId="18BB750B">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A85D902">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2BE31827">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14:paraId="64619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58EFD411">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Мультифора А4</w:t>
            </w:r>
          </w:p>
        </w:tc>
        <w:tc>
          <w:tcPr>
            <w:tcW w:w="1389" w:type="dxa"/>
          </w:tcPr>
          <w:p w14:paraId="03A7885E">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D272436">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w:t>
            </w:r>
          </w:p>
        </w:tc>
        <w:tc>
          <w:tcPr>
            <w:tcW w:w="1955" w:type="dxa"/>
            <w:shd w:val="clear" w:color="auto" w:fill="auto"/>
          </w:tcPr>
          <w:p w14:paraId="71A50FF2">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14:paraId="53A26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05CC9FD3">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Набор офисный канцелярский</w:t>
            </w:r>
          </w:p>
        </w:tc>
        <w:tc>
          <w:tcPr>
            <w:tcW w:w="1389" w:type="dxa"/>
          </w:tcPr>
          <w:p w14:paraId="161C18F4">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EF5FE1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w:t>
            </w:r>
          </w:p>
        </w:tc>
        <w:tc>
          <w:tcPr>
            <w:tcW w:w="1955" w:type="dxa"/>
            <w:shd w:val="clear" w:color="auto" w:fill="auto"/>
          </w:tcPr>
          <w:p w14:paraId="4E209935">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1000,00</w:t>
            </w:r>
          </w:p>
        </w:tc>
      </w:tr>
      <w:tr w14:paraId="1A288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6557D9E7">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Нить полиамидная для прошивки документов </w:t>
            </w:r>
          </w:p>
        </w:tc>
        <w:tc>
          <w:tcPr>
            <w:tcW w:w="1389" w:type="dxa"/>
          </w:tcPr>
          <w:p w14:paraId="764F6D93">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бобина</w:t>
            </w:r>
          </w:p>
        </w:tc>
        <w:tc>
          <w:tcPr>
            <w:tcW w:w="1872" w:type="dxa"/>
            <w:shd w:val="clear" w:color="auto" w:fill="auto"/>
          </w:tcPr>
          <w:p w14:paraId="602B8781">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00FA374F">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450,00</w:t>
            </w:r>
          </w:p>
        </w:tc>
      </w:tr>
      <w:tr w14:paraId="2F57E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3AE55BF2">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Нож канцелярский</w:t>
            </w:r>
          </w:p>
        </w:tc>
        <w:tc>
          <w:tcPr>
            <w:tcW w:w="1389" w:type="dxa"/>
          </w:tcPr>
          <w:p w14:paraId="0C0527BD">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CD22273">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648076BC">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180,00</w:t>
            </w:r>
          </w:p>
        </w:tc>
      </w:tr>
      <w:tr w14:paraId="68D79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5A17218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Ножницы</w:t>
            </w:r>
          </w:p>
        </w:tc>
        <w:tc>
          <w:tcPr>
            <w:tcW w:w="1389" w:type="dxa"/>
          </w:tcPr>
          <w:p w14:paraId="446E9CF3">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287ECBE">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13922665">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350,00</w:t>
            </w:r>
          </w:p>
        </w:tc>
      </w:tr>
      <w:tr w14:paraId="38B91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0478E9E5">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Обложка для переплета</w:t>
            </w:r>
          </w:p>
        </w:tc>
        <w:tc>
          <w:tcPr>
            <w:tcW w:w="1389" w:type="dxa"/>
          </w:tcPr>
          <w:p w14:paraId="2DB1BA27">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63F3A58">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12AE0316">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800,00</w:t>
            </w:r>
          </w:p>
        </w:tc>
      </w:tr>
      <w:tr w14:paraId="6CE88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0575CFE9">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Органайзер</w:t>
            </w:r>
          </w:p>
        </w:tc>
        <w:tc>
          <w:tcPr>
            <w:tcW w:w="1389" w:type="dxa"/>
          </w:tcPr>
          <w:p w14:paraId="13B5DEC3">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32F8C65">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1229E951">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900,00</w:t>
            </w:r>
          </w:p>
        </w:tc>
      </w:tr>
      <w:tr w14:paraId="75289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1331DD7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Оснастка для печати</w:t>
            </w:r>
          </w:p>
        </w:tc>
        <w:tc>
          <w:tcPr>
            <w:tcW w:w="1389" w:type="dxa"/>
          </w:tcPr>
          <w:p w14:paraId="7B0A98B6">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09186EF">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1955" w:type="dxa"/>
            <w:shd w:val="clear" w:color="auto" w:fill="auto"/>
          </w:tcPr>
          <w:p w14:paraId="49F272BD">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400,00</w:t>
            </w:r>
          </w:p>
        </w:tc>
      </w:tr>
      <w:tr w14:paraId="0D719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32BC431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Пакет упаковочный, в том числе для корреспонденции</w:t>
            </w:r>
          </w:p>
        </w:tc>
        <w:tc>
          <w:tcPr>
            <w:tcW w:w="1389" w:type="dxa"/>
          </w:tcPr>
          <w:p w14:paraId="7B658D95">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1F585FE">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4322144D">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w:t>
            </w:r>
          </w:p>
        </w:tc>
      </w:tr>
      <w:tr w14:paraId="221B0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112A999D">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для документов</w:t>
            </w:r>
          </w:p>
        </w:tc>
        <w:tc>
          <w:tcPr>
            <w:tcW w:w="1389" w:type="dxa"/>
          </w:tcPr>
          <w:p w14:paraId="2A53CB8B">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BB44D1D">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7EFF4585">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1200,00</w:t>
            </w:r>
          </w:p>
        </w:tc>
      </w:tr>
      <w:tr w14:paraId="578F2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35D29635">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(пластик) с перфорацией на корешке</w:t>
            </w:r>
          </w:p>
        </w:tc>
        <w:tc>
          <w:tcPr>
            <w:tcW w:w="1389" w:type="dxa"/>
          </w:tcPr>
          <w:p w14:paraId="6AD947E4">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CA7F176">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41E70A9E">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14:paraId="70D1C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7C66A1DD">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 планшет</w:t>
            </w:r>
          </w:p>
        </w:tc>
        <w:tc>
          <w:tcPr>
            <w:tcW w:w="1389" w:type="dxa"/>
          </w:tcPr>
          <w:p w14:paraId="085C8A7C">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139597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702905D6">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220,00</w:t>
            </w:r>
          </w:p>
        </w:tc>
      </w:tr>
      <w:tr w14:paraId="4328D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5A823348">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(с металлическим прижимом)</w:t>
            </w:r>
          </w:p>
        </w:tc>
        <w:tc>
          <w:tcPr>
            <w:tcW w:w="1389" w:type="dxa"/>
          </w:tcPr>
          <w:p w14:paraId="4FF63A6E">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42C6FAB">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27C4C791">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14:paraId="5A8AE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10674FE6">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(картон)</w:t>
            </w:r>
          </w:p>
        </w:tc>
        <w:tc>
          <w:tcPr>
            <w:tcW w:w="1389" w:type="dxa"/>
          </w:tcPr>
          <w:p w14:paraId="6670DDCE">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2FA0AF8">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2000 </w:t>
            </w:r>
          </w:p>
        </w:tc>
        <w:tc>
          <w:tcPr>
            <w:tcW w:w="1955" w:type="dxa"/>
            <w:shd w:val="clear" w:color="auto" w:fill="auto"/>
          </w:tcPr>
          <w:p w14:paraId="1D838B7C">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14:paraId="16B0A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57135ACB">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(пластик) без перфорации на корешке</w:t>
            </w:r>
          </w:p>
        </w:tc>
        <w:tc>
          <w:tcPr>
            <w:tcW w:w="1389" w:type="dxa"/>
          </w:tcPr>
          <w:p w14:paraId="1C8EF138">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2C8B228">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586786F1">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14:paraId="760E7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1CEC452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«Дело» без скоросшивателя для сшивания документов</w:t>
            </w:r>
          </w:p>
        </w:tc>
        <w:tc>
          <w:tcPr>
            <w:tcW w:w="1389" w:type="dxa"/>
          </w:tcPr>
          <w:p w14:paraId="2F2499B1">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A28F691">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1000 </w:t>
            </w:r>
          </w:p>
        </w:tc>
        <w:tc>
          <w:tcPr>
            <w:tcW w:w="1955" w:type="dxa"/>
            <w:shd w:val="clear" w:color="auto" w:fill="auto"/>
          </w:tcPr>
          <w:p w14:paraId="0087D54C">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hint="default" w:ascii="Times New Roman" w:hAnsi="Times New Roman" w:cs="Times New Roman"/>
                <w:sz w:val="28"/>
                <w:szCs w:val="28"/>
                <w:lang w:val="ru-RU"/>
              </w:rPr>
              <w:t>3</w:t>
            </w:r>
            <w:r>
              <w:rPr>
                <w:rFonts w:ascii="Times New Roman" w:hAnsi="Times New Roman" w:cs="Times New Roman"/>
                <w:sz w:val="28"/>
                <w:szCs w:val="28"/>
              </w:rPr>
              <w:t>0,00</w:t>
            </w:r>
          </w:p>
        </w:tc>
      </w:tr>
      <w:tr w14:paraId="1C27C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03552B97">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для бумаг с завязками</w:t>
            </w:r>
          </w:p>
        </w:tc>
        <w:tc>
          <w:tcPr>
            <w:tcW w:w="1389" w:type="dxa"/>
          </w:tcPr>
          <w:p w14:paraId="7575E94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783A6E2">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20A60558">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w:t>
            </w:r>
          </w:p>
        </w:tc>
      </w:tr>
      <w:tr w14:paraId="5A50C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23D41929">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с боковым металлическим прижимом</w:t>
            </w:r>
          </w:p>
        </w:tc>
        <w:tc>
          <w:tcPr>
            <w:tcW w:w="1389" w:type="dxa"/>
          </w:tcPr>
          <w:p w14:paraId="1AD5F4B7">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D19DA83">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03E098C1">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14:paraId="29770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686EC46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Папка бумажная с надписью </w:t>
            </w:r>
          </w:p>
        </w:tc>
        <w:tc>
          <w:tcPr>
            <w:tcW w:w="1389" w:type="dxa"/>
          </w:tcPr>
          <w:p w14:paraId="7C7216C8">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FE0F5A9">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shd w:val="clear" w:color="auto" w:fill="auto"/>
          </w:tcPr>
          <w:p w14:paraId="343D29BD">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75,00</w:t>
            </w:r>
          </w:p>
        </w:tc>
      </w:tr>
      <w:tr w14:paraId="77AC4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5743548B">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с тиснением</w:t>
            </w:r>
          </w:p>
        </w:tc>
        <w:tc>
          <w:tcPr>
            <w:tcW w:w="1389" w:type="dxa"/>
          </w:tcPr>
          <w:p w14:paraId="4D0F369B">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BAEB78B">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58C4242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14:paraId="0DA72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268CF4F2">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Папка-конверт на кнопке</w:t>
            </w:r>
          </w:p>
        </w:tc>
        <w:tc>
          <w:tcPr>
            <w:tcW w:w="1389" w:type="dxa"/>
          </w:tcPr>
          <w:p w14:paraId="089D9C4B">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1819B73">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04355915">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14:paraId="5DA36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17063BE1">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с файлами</w:t>
            </w:r>
          </w:p>
        </w:tc>
        <w:tc>
          <w:tcPr>
            <w:tcW w:w="1389" w:type="dxa"/>
          </w:tcPr>
          <w:p w14:paraId="6533E0A8">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23E7689">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01560FA9">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120,00</w:t>
            </w:r>
          </w:p>
        </w:tc>
      </w:tr>
      <w:tr w14:paraId="750ED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443D265F">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Файлы </w:t>
            </w:r>
          </w:p>
        </w:tc>
        <w:tc>
          <w:tcPr>
            <w:tcW w:w="1389" w:type="dxa"/>
          </w:tcPr>
          <w:p w14:paraId="78F5DCEE">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0B298F2D">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5466567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14:paraId="1A678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608F7FC4">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на резинке пластиковая</w:t>
            </w:r>
          </w:p>
        </w:tc>
        <w:tc>
          <w:tcPr>
            <w:tcW w:w="1389" w:type="dxa"/>
          </w:tcPr>
          <w:p w14:paraId="7C256375">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16576DD">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6C8DE3C2">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14:paraId="13CB8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1036941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Папка с правой вставкой </w:t>
            </w:r>
          </w:p>
          <w:p w14:paraId="18DC6F22">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(20*80 файлов)</w:t>
            </w:r>
          </w:p>
        </w:tc>
        <w:tc>
          <w:tcPr>
            <w:tcW w:w="1389" w:type="dxa"/>
          </w:tcPr>
          <w:p w14:paraId="5BA01BFB">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85E419B">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43078D7B">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14:paraId="711D6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0314CDC2">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Папка-уголок</w:t>
            </w:r>
          </w:p>
        </w:tc>
        <w:tc>
          <w:tcPr>
            <w:tcW w:w="1389" w:type="dxa"/>
          </w:tcPr>
          <w:p w14:paraId="502640D3">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691C514">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w:t>
            </w:r>
          </w:p>
        </w:tc>
        <w:tc>
          <w:tcPr>
            <w:tcW w:w="1955" w:type="dxa"/>
            <w:shd w:val="clear" w:color="auto" w:fill="auto"/>
          </w:tcPr>
          <w:p w14:paraId="01428CB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14:paraId="0433A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0F87E49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Папка-регистратор </w:t>
            </w:r>
          </w:p>
        </w:tc>
        <w:tc>
          <w:tcPr>
            <w:tcW w:w="1389" w:type="dxa"/>
          </w:tcPr>
          <w:p w14:paraId="6B582F6B">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120042C">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w:t>
            </w:r>
          </w:p>
        </w:tc>
        <w:tc>
          <w:tcPr>
            <w:tcW w:w="1955" w:type="dxa"/>
            <w:shd w:val="clear" w:color="auto" w:fill="auto"/>
          </w:tcPr>
          <w:p w14:paraId="344CDFD5">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14:paraId="17077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0CD260AD">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Печати, штампы </w:t>
            </w:r>
          </w:p>
        </w:tc>
        <w:tc>
          <w:tcPr>
            <w:tcW w:w="1389" w:type="dxa"/>
          </w:tcPr>
          <w:p w14:paraId="7DD37707">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48A51DD">
            <w:pPr>
              <w:widowControl w:val="0"/>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не более 10 на министерство и агентство</w:t>
            </w:r>
          </w:p>
        </w:tc>
        <w:tc>
          <w:tcPr>
            <w:tcW w:w="1955" w:type="dxa"/>
            <w:shd w:val="clear" w:color="auto" w:fill="auto"/>
          </w:tcPr>
          <w:p w14:paraId="39734AC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hint="default" w:ascii="Times New Roman" w:hAnsi="Times New Roman" w:cs="Times New Roman"/>
                <w:sz w:val="28"/>
                <w:szCs w:val="28"/>
                <w:lang w:val="ru-RU"/>
              </w:rPr>
              <w:t>5</w:t>
            </w:r>
            <w:r>
              <w:rPr>
                <w:rFonts w:ascii="Times New Roman" w:hAnsi="Times New Roman" w:cs="Times New Roman"/>
                <w:sz w:val="28"/>
                <w:szCs w:val="28"/>
              </w:rPr>
              <w:t> 500,00</w:t>
            </w:r>
          </w:p>
        </w:tc>
      </w:tr>
      <w:tr w14:paraId="5633D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4D4DAF4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Планинг</w:t>
            </w:r>
          </w:p>
        </w:tc>
        <w:tc>
          <w:tcPr>
            <w:tcW w:w="1389" w:type="dxa"/>
          </w:tcPr>
          <w:p w14:paraId="384A808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D308771">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сотрудника</w:t>
            </w:r>
          </w:p>
        </w:tc>
        <w:tc>
          <w:tcPr>
            <w:tcW w:w="1955" w:type="dxa"/>
            <w:shd w:val="clear" w:color="auto" w:fill="auto"/>
          </w:tcPr>
          <w:p w14:paraId="69C8C4D4">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hint="default" w:ascii="Times New Roman" w:hAnsi="Times New Roman" w:cs="Times New Roman"/>
                <w:sz w:val="28"/>
                <w:szCs w:val="28"/>
                <w:lang w:val="ru-RU"/>
              </w:rPr>
              <w:t>2</w:t>
            </w:r>
            <w:r>
              <w:rPr>
                <w:rFonts w:ascii="Times New Roman" w:hAnsi="Times New Roman" w:cs="Times New Roman"/>
                <w:sz w:val="28"/>
                <w:szCs w:val="28"/>
              </w:rPr>
              <w:t>00,00</w:t>
            </w:r>
          </w:p>
        </w:tc>
      </w:tr>
      <w:tr w14:paraId="4EC21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1EC51ADE">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Подставка для бумажного блока</w:t>
            </w:r>
          </w:p>
        </w:tc>
        <w:tc>
          <w:tcPr>
            <w:tcW w:w="1389" w:type="dxa"/>
          </w:tcPr>
          <w:p w14:paraId="0AA4864D">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4C0EEAB">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589106E3">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14:paraId="76702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5D5883FB">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Пломбир для опечатывания с гравировкой</w:t>
            </w:r>
          </w:p>
        </w:tc>
        <w:tc>
          <w:tcPr>
            <w:tcW w:w="1389" w:type="dxa"/>
          </w:tcPr>
          <w:p w14:paraId="27CC2E8B">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F2255B9">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 </w:t>
            </w:r>
          </w:p>
        </w:tc>
        <w:tc>
          <w:tcPr>
            <w:tcW w:w="1955" w:type="dxa"/>
            <w:shd w:val="clear" w:color="auto" w:fill="auto"/>
          </w:tcPr>
          <w:p w14:paraId="433F8222">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700,00</w:t>
            </w:r>
          </w:p>
        </w:tc>
      </w:tr>
      <w:tr w14:paraId="186E6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6E7759C8">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Подставка-органайзер для ручек-карандашей без наполнения</w:t>
            </w:r>
          </w:p>
        </w:tc>
        <w:tc>
          <w:tcPr>
            <w:tcW w:w="1389" w:type="dxa"/>
          </w:tcPr>
          <w:p w14:paraId="73BC41A4">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82F37AD">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6677AE81">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14:paraId="7A0DE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35F992A2">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Подставка для канцелярских принадлежностей настольная пластиковая с наполнением в наборе канцелярскими принадлежностями</w:t>
            </w:r>
          </w:p>
        </w:tc>
        <w:tc>
          <w:tcPr>
            <w:tcW w:w="1389" w:type="dxa"/>
          </w:tcPr>
          <w:p w14:paraId="427B3149">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B1E8E98">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2E5125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1 400,00</w:t>
            </w:r>
          </w:p>
        </w:tc>
      </w:tr>
      <w:tr w14:paraId="7C421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4EE67BDD">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Портфель</w:t>
            </w:r>
          </w:p>
        </w:tc>
        <w:tc>
          <w:tcPr>
            <w:tcW w:w="1389" w:type="dxa"/>
          </w:tcPr>
          <w:p w14:paraId="7B2A9F67">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D32359E">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7A3FCA55">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1000,00</w:t>
            </w:r>
          </w:p>
        </w:tc>
      </w:tr>
      <w:tr w14:paraId="61D74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3A9D53DB">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Пружины пластиковые для переплета</w:t>
            </w:r>
          </w:p>
        </w:tc>
        <w:tc>
          <w:tcPr>
            <w:tcW w:w="1389" w:type="dxa"/>
          </w:tcPr>
          <w:p w14:paraId="40A6D3E5">
            <w:pPr>
              <w:widowControl w:val="0"/>
              <w:tabs>
                <w:tab w:val="left" w:pos="1080"/>
              </w:tabs>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упаковка</w:t>
            </w:r>
            <w:r>
              <w:rPr>
                <w:rFonts w:ascii="Times New Roman" w:hAnsi="Times New Roman" w:cs="Times New Roman"/>
                <w:sz w:val="28"/>
                <w:szCs w:val="28"/>
              </w:rPr>
              <w:tab/>
            </w:r>
          </w:p>
        </w:tc>
        <w:tc>
          <w:tcPr>
            <w:tcW w:w="1872" w:type="dxa"/>
            <w:shd w:val="clear" w:color="auto" w:fill="auto"/>
            <w:vAlign w:val="center"/>
          </w:tcPr>
          <w:p w14:paraId="5B1BE224">
            <w:pPr>
              <w:widowControl w:val="0"/>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не более 3 упаковок по 100 шт </w:t>
            </w:r>
          </w:p>
        </w:tc>
        <w:tc>
          <w:tcPr>
            <w:tcW w:w="1955" w:type="dxa"/>
            <w:shd w:val="clear" w:color="auto" w:fill="auto"/>
            <w:vAlign w:val="center"/>
          </w:tcPr>
          <w:p w14:paraId="57BF52C6">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r w14:paraId="668E0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077E2592">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Разбавитель для корректирующей жидкости</w:t>
            </w:r>
          </w:p>
        </w:tc>
        <w:tc>
          <w:tcPr>
            <w:tcW w:w="1389" w:type="dxa"/>
          </w:tcPr>
          <w:p w14:paraId="0D73F974">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5359F73">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6532BD1E">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14:paraId="733B0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1530B583">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Разделитель листов пластиковый</w:t>
            </w:r>
          </w:p>
        </w:tc>
        <w:tc>
          <w:tcPr>
            <w:tcW w:w="1389" w:type="dxa"/>
          </w:tcPr>
          <w:p w14:paraId="08B00FA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655426F8">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w:t>
            </w:r>
          </w:p>
        </w:tc>
        <w:tc>
          <w:tcPr>
            <w:tcW w:w="1955" w:type="dxa"/>
            <w:shd w:val="clear" w:color="auto" w:fill="auto"/>
          </w:tcPr>
          <w:p w14:paraId="6867DA9F">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14:paraId="4B678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719D790D">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Ручка гелевая (синяя, чёрная, красная)</w:t>
            </w:r>
          </w:p>
        </w:tc>
        <w:tc>
          <w:tcPr>
            <w:tcW w:w="1389" w:type="dxa"/>
          </w:tcPr>
          <w:p w14:paraId="4139EC45">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629F957">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shd w:val="clear" w:color="auto" w:fill="auto"/>
          </w:tcPr>
          <w:p w14:paraId="734F7C7B">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14:paraId="7A472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5CC81DDD">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Ручка масляная</w:t>
            </w:r>
          </w:p>
        </w:tc>
        <w:tc>
          <w:tcPr>
            <w:tcW w:w="1389" w:type="dxa"/>
          </w:tcPr>
          <w:p w14:paraId="042E973B">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A6C7426">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7DB094BE">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14:paraId="2D56E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1797C7C1">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Ручка шариковая</w:t>
            </w:r>
          </w:p>
        </w:tc>
        <w:tc>
          <w:tcPr>
            <w:tcW w:w="1389" w:type="dxa"/>
          </w:tcPr>
          <w:p w14:paraId="34D6F8F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61A5BB3">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120</w:t>
            </w:r>
          </w:p>
        </w:tc>
        <w:tc>
          <w:tcPr>
            <w:tcW w:w="1955" w:type="dxa"/>
            <w:shd w:val="clear" w:color="auto" w:fill="auto"/>
          </w:tcPr>
          <w:p w14:paraId="2C3CA371">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14:paraId="1EFF9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63E84311">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Салфетки для мониторов </w:t>
            </w:r>
          </w:p>
        </w:tc>
        <w:tc>
          <w:tcPr>
            <w:tcW w:w="1389" w:type="dxa"/>
          </w:tcPr>
          <w:p w14:paraId="6061CED9">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23493559">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4A905AFE">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14:paraId="192F2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14701B9F">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Скобы к степлеру</w:t>
            </w:r>
          </w:p>
        </w:tc>
        <w:tc>
          <w:tcPr>
            <w:tcW w:w="1389" w:type="dxa"/>
          </w:tcPr>
          <w:p w14:paraId="2BE0630D">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5A44BDB7">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shd w:val="clear" w:color="auto" w:fill="auto"/>
          </w:tcPr>
          <w:p w14:paraId="1A2F0713">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14:paraId="7326F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40BD1D99">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Скотч широкий (лента клейкая канцелярская)</w:t>
            </w:r>
          </w:p>
        </w:tc>
        <w:tc>
          <w:tcPr>
            <w:tcW w:w="1389" w:type="dxa"/>
          </w:tcPr>
          <w:p w14:paraId="3225487B">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B5A5E9D">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34EC9543">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14:paraId="2E2B4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3E4F0E0F">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Скотч узкий (лента клейкая канцелярская)</w:t>
            </w:r>
          </w:p>
        </w:tc>
        <w:tc>
          <w:tcPr>
            <w:tcW w:w="1389" w:type="dxa"/>
          </w:tcPr>
          <w:p w14:paraId="79DB3C8C">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AAEC4A9">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4DBB86B2">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w:t>
            </w:r>
          </w:p>
        </w:tc>
      </w:tr>
      <w:tr w14:paraId="69BEA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390D3DC2">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Скрепки оцинкованные</w:t>
            </w:r>
          </w:p>
        </w:tc>
        <w:tc>
          <w:tcPr>
            <w:tcW w:w="1389" w:type="dxa"/>
          </w:tcPr>
          <w:p w14:paraId="4C0704FB">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4456F24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shd w:val="clear" w:color="auto" w:fill="auto"/>
          </w:tcPr>
          <w:p w14:paraId="5699EA4E">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14:paraId="13B65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0D46AA90">
            <w:pPr>
              <w:widowControl w:val="0"/>
              <w:autoSpaceDE w:val="0"/>
              <w:autoSpaceDN w:val="0"/>
              <w:adjustRightInd w:val="0"/>
              <w:spacing w:after="0" w:line="240" w:lineRule="auto"/>
              <w:rPr>
                <w:rFonts w:hint="default" w:ascii="Times New Roman" w:hAnsi="Times New Roman" w:cs="Times New Roman"/>
                <w:sz w:val="28"/>
                <w:szCs w:val="28"/>
                <w:lang w:val="ru-RU"/>
              </w:rPr>
            </w:pPr>
            <w:r>
              <w:rPr>
                <w:rFonts w:ascii="Times New Roman" w:hAnsi="Times New Roman" w:cs="Times New Roman"/>
                <w:sz w:val="28"/>
                <w:szCs w:val="28"/>
                <w:lang w:val="ru-RU"/>
              </w:rPr>
              <w:t>Скрепки</w:t>
            </w:r>
            <w:r>
              <w:rPr>
                <w:rFonts w:hint="default" w:ascii="Times New Roman" w:hAnsi="Times New Roman" w:cs="Times New Roman"/>
                <w:sz w:val="28"/>
                <w:szCs w:val="28"/>
                <w:lang w:val="ru-RU"/>
              </w:rPr>
              <w:t xml:space="preserve"> цветные</w:t>
            </w:r>
          </w:p>
        </w:tc>
        <w:tc>
          <w:tcPr>
            <w:tcW w:w="1389" w:type="dxa"/>
          </w:tcPr>
          <w:p w14:paraId="5450FEAC">
            <w:pPr>
              <w:widowControl w:val="0"/>
              <w:autoSpaceDE w:val="0"/>
              <w:autoSpaceDN w:val="0"/>
              <w:adjustRightInd w:val="0"/>
              <w:spacing w:after="0" w:line="240" w:lineRule="auto"/>
              <w:jc w:val="center"/>
              <w:rPr>
                <w:rFonts w:hint="default" w:ascii="Times New Roman" w:hAnsi="Times New Roman" w:cs="Times New Roman"/>
                <w:sz w:val="28"/>
                <w:szCs w:val="28"/>
                <w:lang w:val="ru-RU"/>
              </w:rPr>
            </w:pPr>
            <w:r>
              <w:rPr>
                <w:rFonts w:ascii="Times New Roman" w:hAnsi="Times New Roman" w:cs="Times New Roman"/>
                <w:sz w:val="28"/>
                <w:szCs w:val="28"/>
                <w:lang w:val="ru-RU"/>
              </w:rPr>
              <w:t>упаковка</w:t>
            </w:r>
          </w:p>
        </w:tc>
        <w:tc>
          <w:tcPr>
            <w:tcW w:w="1872" w:type="dxa"/>
            <w:shd w:val="clear" w:color="auto" w:fill="auto"/>
          </w:tcPr>
          <w:p w14:paraId="6296BC1E">
            <w:pPr>
              <w:widowControl w:val="0"/>
              <w:autoSpaceDE w:val="0"/>
              <w:autoSpaceDN w:val="0"/>
              <w:adjustRightInd w:val="0"/>
              <w:spacing w:after="0" w:line="240" w:lineRule="auto"/>
              <w:jc w:val="center"/>
              <w:rPr>
                <w:rFonts w:hint="default" w:ascii="Times New Roman" w:hAnsi="Times New Roman" w:cs="Times New Roman"/>
                <w:sz w:val="28"/>
                <w:szCs w:val="28"/>
                <w:lang w:val="ru-RU"/>
              </w:rPr>
            </w:pPr>
            <w:r>
              <w:rPr>
                <w:rFonts w:ascii="Times New Roman" w:hAnsi="Times New Roman" w:cs="Times New Roman"/>
                <w:sz w:val="28"/>
                <w:szCs w:val="28"/>
                <w:lang w:val="ru-RU"/>
              </w:rPr>
              <w:t>не</w:t>
            </w:r>
            <w:r>
              <w:rPr>
                <w:rFonts w:hint="default" w:ascii="Times New Roman" w:hAnsi="Times New Roman" w:cs="Times New Roman"/>
                <w:sz w:val="28"/>
                <w:szCs w:val="28"/>
                <w:lang w:val="ru-RU"/>
              </w:rPr>
              <w:t xml:space="preserve"> более 10</w:t>
            </w:r>
          </w:p>
        </w:tc>
        <w:tc>
          <w:tcPr>
            <w:tcW w:w="1955" w:type="dxa"/>
            <w:shd w:val="clear" w:color="auto" w:fill="auto"/>
          </w:tcPr>
          <w:p w14:paraId="446D3512">
            <w:pPr>
              <w:widowControl w:val="0"/>
              <w:autoSpaceDE w:val="0"/>
              <w:autoSpaceDN w:val="0"/>
              <w:adjustRightInd w:val="0"/>
              <w:spacing w:after="0" w:line="240" w:lineRule="auto"/>
              <w:jc w:val="center"/>
              <w:rPr>
                <w:rFonts w:hint="default" w:ascii="Times New Roman" w:hAnsi="Times New Roman" w:cs="Times New Roman"/>
                <w:sz w:val="28"/>
                <w:szCs w:val="28"/>
                <w:lang w:val="ru-RU"/>
              </w:rPr>
            </w:pPr>
            <w:r>
              <w:rPr>
                <w:rFonts w:ascii="Times New Roman" w:hAnsi="Times New Roman" w:cs="Times New Roman"/>
                <w:sz w:val="28"/>
                <w:szCs w:val="28"/>
                <w:lang w:val="ru-RU"/>
              </w:rPr>
              <w:t>не</w:t>
            </w:r>
            <w:r>
              <w:rPr>
                <w:rFonts w:hint="default" w:ascii="Times New Roman" w:hAnsi="Times New Roman" w:cs="Times New Roman"/>
                <w:sz w:val="28"/>
                <w:szCs w:val="28"/>
                <w:lang w:val="ru-RU"/>
              </w:rPr>
              <w:t xml:space="preserve"> более 80,00</w:t>
            </w:r>
          </w:p>
        </w:tc>
      </w:tr>
      <w:tr w14:paraId="2C6F9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3EDAE99F">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Скрепочница магнитная</w:t>
            </w:r>
          </w:p>
        </w:tc>
        <w:tc>
          <w:tcPr>
            <w:tcW w:w="1389" w:type="dxa"/>
          </w:tcPr>
          <w:p w14:paraId="6F414EB4">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7753658">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26B297A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14:paraId="02E0B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61A6EB12">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Стакан для карандашей, ручек</w:t>
            </w:r>
          </w:p>
        </w:tc>
        <w:tc>
          <w:tcPr>
            <w:tcW w:w="1389" w:type="dxa"/>
          </w:tcPr>
          <w:p w14:paraId="5B94F125">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BF40FF3">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5D14D29D">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14:paraId="1250F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541A4F15">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Стержни </w:t>
            </w:r>
          </w:p>
        </w:tc>
        <w:tc>
          <w:tcPr>
            <w:tcW w:w="1389" w:type="dxa"/>
          </w:tcPr>
          <w:p w14:paraId="1058C354">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84A3A2B">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12A6567F">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14:paraId="09C63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46E994B1">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Стержни для карандашей механических 0,5/0,7</w:t>
            </w:r>
          </w:p>
        </w:tc>
        <w:tc>
          <w:tcPr>
            <w:tcW w:w="1389" w:type="dxa"/>
          </w:tcPr>
          <w:p w14:paraId="09FA1C0D">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B12D8B7">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7D10D4F2">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45,00</w:t>
            </w:r>
          </w:p>
        </w:tc>
      </w:tr>
      <w:tr w14:paraId="3188D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5158E663">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Степлер (№ 10, № 24)</w:t>
            </w:r>
          </w:p>
        </w:tc>
        <w:tc>
          <w:tcPr>
            <w:tcW w:w="1389" w:type="dxa"/>
          </w:tcPr>
          <w:p w14:paraId="5A8B3363">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93F4B7C">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7C3FAACF">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14:paraId="5016A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629618C6">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Стиратель для магнитно-маркерной доски</w:t>
            </w:r>
          </w:p>
        </w:tc>
        <w:tc>
          <w:tcPr>
            <w:tcW w:w="1389" w:type="dxa"/>
          </w:tcPr>
          <w:p w14:paraId="33415CF1">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D974A7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600F901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14:paraId="16936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694AB5A9">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Стержни гелевые (синие, чёрные, красные)</w:t>
            </w:r>
          </w:p>
        </w:tc>
        <w:tc>
          <w:tcPr>
            <w:tcW w:w="1389" w:type="dxa"/>
          </w:tcPr>
          <w:p w14:paraId="72280097">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3AB85C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1955" w:type="dxa"/>
            <w:shd w:val="clear" w:color="auto" w:fill="auto"/>
          </w:tcPr>
          <w:p w14:paraId="66383D45">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w:t>
            </w:r>
          </w:p>
        </w:tc>
      </w:tr>
      <w:tr w14:paraId="4D02E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2F7C7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Стержни шариковые</w:t>
            </w:r>
          </w:p>
        </w:tc>
        <w:tc>
          <w:tcPr>
            <w:tcW w:w="1389" w:type="dxa"/>
          </w:tcPr>
          <w:p w14:paraId="5539EAD5">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9F2C951">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6221FD65">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w:t>
            </w:r>
          </w:p>
        </w:tc>
      </w:tr>
      <w:tr w14:paraId="04F12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032D8EC9">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Текстовыделитель</w:t>
            </w:r>
          </w:p>
        </w:tc>
        <w:tc>
          <w:tcPr>
            <w:tcW w:w="1389" w:type="dxa"/>
          </w:tcPr>
          <w:p w14:paraId="05CB576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4E53F4C">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w:t>
            </w:r>
          </w:p>
        </w:tc>
        <w:tc>
          <w:tcPr>
            <w:tcW w:w="1955" w:type="dxa"/>
            <w:shd w:val="clear" w:color="auto" w:fill="auto"/>
          </w:tcPr>
          <w:p w14:paraId="49BA2383">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14:paraId="037DD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030FA56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Тетрадь</w:t>
            </w:r>
          </w:p>
        </w:tc>
        <w:tc>
          <w:tcPr>
            <w:tcW w:w="1389" w:type="dxa"/>
          </w:tcPr>
          <w:p w14:paraId="0A4809C1">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8AAD53C">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7F40A38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p w14:paraId="1CC31809">
            <w:pPr>
              <w:widowControl w:val="0"/>
              <w:autoSpaceDE w:val="0"/>
              <w:autoSpaceDN w:val="0"/>
              <w:adjustRightInd w:val="0"/>
              <w:spacing w:after="0" w:line="240" w:lineRule="auto"/>
              <w:jc w:val="center"/>
              <w:rPr>
                <w:rFonts w:ascii="Times New Roman" w:hAnsi="Times New Roman" w:cs="Times New Roman"/>
                <w:sz w:val="28"/>
                <w:szCs w:val="28"/>
              </w:rPr>
            </w:pPr>
          </w:p>
        </w:tc>
      </w:tr>
      <w:tr w14:paraId="56C5F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0D1AA031">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Точилка для карандашей металлическая, пластиковая</w:t>
            </w:r>
          </w:p>
        </w:tc>
        <w:tc>
          <w:tcPr>
            <w:tcW w:w="1389" w:type="dxa"/>
          </w:tcPr>
          <w:p w14:paraId="5180388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F05DD93">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5F122944">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14:paraId="51198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04F61CFB">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Точилка механическая</w:t>
            </w:r>
          </w:p>
        </w:tc>
        <w:tc>
          <w:tcPr>
            <w:tcW w:w="1389" w:type="dxa"/>
          </w:tcPr>
          <w:p w14:paraId="70C26C2C">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DBCCD84">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кабинет</w:t>
            </w:r>
          </w:p>
        </w:tc>
        <w:tc>
          <w:tcPr>
            <w:tcW w:w="1955" w:type="dxa"/>
            <w:shd w:val="clear" w:color="auto" w:fill="auto"/>
          </w:tcPr>
          <w:p w14:paraId="7F2532C4">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14:paraId="5B691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7AE4B7EB">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Табличка информационная</w:t>
            </w:r>
          </w:p>
        </w:tc>
        <w:tc>
          <w:tcPr>
            <w:tcW w:w="1389" w:type="dxa"/>
          </w:tcPr>
          <w:p w14:paraId="33709E6B">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27A4604">
            <w:pPr>
              <w:widowControl w:val="0"/>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не более 2 на министерство</w:t>
            </w:r>
          </w:p>
        </w:tc>
        <w:tc>
          <w:tcPr>
            <w:tcW w:w="1955" w:type="dxa"/>
            <w:shd w:val="clear" w:color="auto" w:fill="auto"/>
          </w:tcPr>
          <w:p w14:paraId="27DCC472">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r w14:paraId="30634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64A33D24">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Чернила для ручки</w:t>
            </w:r>
          </w:p>
        </w:tc>
        <w:tc>
          <w:tcPr>
            <w:tcW w:w="1389" w:type="dxa"/>
          </w:tcPr>
          <w:p w14:paraId="656D77CD">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399D8A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30185435">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14:paraId="26B58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6B880CC7">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Штемпельная подушка</w:t>
            </w:r>
          </w:p>
        </w:tc>
        <w:tc>
          <w:tcPr>
            <w:tcW w:w="1389" w:type="dxa"/>
          </w:tcPr>
          <w:p w14:paraId="5D5F25B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6373F17">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307C2C2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14:paraId="74F37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1D348F9E">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Шпагат 165 м</w:t>
            </w:r>
          </w:p>
        </w:tc>
        <w:tc>
          <w:tcPr>
            <w:tcW w:w="1389" w:type="dxa"/>
          </w:tcPr>
          <w:p w14:paraId="04765F44">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бобина</w:t>
            </w:r>
          </w:p>
        </w:tc>
        <w:tc>
          <w:tcPr>
            <w:tcW w:w="1872" w:type="dxa"/>
            <w:shd w:val="clear" w:color="auto" w:fill="auto"/>
          </w:tcPr>
          <w:p w14:paraId="4C317664">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2097A722">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14:paraId="55848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5D59A6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Шило канцелярское</w:t>
            </w:r>
          </w:p>
        </w:tc>
        <w:tc>
          <w:tcPr>
            <w:tcW w:w="1389" w:type="dxa"/>
          </w:tcPr>
          <w:p w14:paraId="53423ADF">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ED953EE">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62759FE9">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14:paraId="64864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423" w:type="dxa"/>
            <w:shd w:val="clear" w:color="auto" w:fill="auto"/>
          </w:tcPr>
          <w:p w14:paraId="29D2967E">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Фотобумага</w:t>
            </w:r>
          </w:p>
        </w:tc>
        <w:tc>
          <w:tcPr>
            <w:tcW w:w="1389" w:type="dxa"/>
          </w:tcPr>
          <w:p w14:paraId="0EE42EAD">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пачка</w:t>
            </w:r>
          </w:p>
        </w:tc>
        <w:tc>
          <w:tcPr>
            <w:tcW w:w="1872" w:type="dxa"/>
            <w:shd w:val="clear" w:color="auto" w:fill="auto"/>
          </w:tcPr>
          <w:p w14:paraId="62DF6096">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5 </w:t>
            </w:r>
          </w:p>
        </w:tc>
        <w:tc>
          <w:tcPr>
            <w:tcW w:w="1955" w:type="dxa"/>
            <w:shd w:val="clear" w:color="auto" w:fill="auto"/>
          </w:tcPr>
          <w:p w14:paraId="2E894E1C">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bl>
    <w:p w14:paraId="11EC649E">
      <w:pPr>
        <w:autoSpaceDE w:val="0"/>
        <w:autoSpaceDN w:val="0"/>
        <w:adjustRightInd w:val="0"/>
        <w:spacing w:after="0"/>
        <w:jc w:val="both"/>
        <w:rPr>
          <w:rFonts w:ascii="Times New Roman" w:hAnsi="Times New Roman" w:cs="Times New Roman"/>
          <w:bCs/>
          <w:sz w:val="24"/>
          <w:szCs w:val="28"/>
        </w:rPr>
      </w:pPr>
      <w:r>
        <w:rPr>
          <w:rFonts w:ascii="Times New Roman" w:hAnsi="Times New Roman" w:cs="Times New Roman"/>
          <w:bCs/>
          <w:sz w:val="24"/>
          <w:szCs w:val="28"/>
        </w:rPr>
        <w:t>*Количество и наименование канцелярских принадлежностей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подведомственного областного казенного учреждения.</w:t>
      </w:r>
    </w:p>
    <w:p w14:paraId="6696B6BB">
      <w:pPr>
        <w:widowControl w:val="0"/>
        <w:autoSpaceDE w:val="0"/>
        <w:autoSpaceDN w:val="0"/>
        <w:spacing w:before="240" w:after="0" w:line="36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14. Затраты на приобретение хозяйственных товаров и принадлежностей </w:t>
      </w:r>
      <m:oMath>
        <m:sSub>
          <m:sSubPr>
            <m:ctrlPr>
              <w:rPr>
                <w:rFonts w:ascii="Cambria Math" w:hAnsi="Cambria Math" w:eastAsia="Times New Roman" w:cs="Times New Roman"/>
                <w:i/>
                <w:sz w:val="28"/>
                <w:szCs w:val="28"/>
                <w:lang w:eastAsia="ru-RU"/>
              </w:rPr>
            </m:ctrlPr>
          </m:sSubPr>
          <m:e>
            <m:r>
              <m:rPr/>
              <w:rPr>
                <w:rFonts w:ascii="Cambria Math" w:hAnsi="Cambria Math" w:eastAsia="Times New Roman" w:cs="Times New Roman"/>
                <w:sz w:val="28"/>
                <w:szCs w:val="28"/>
                <w:lang w:eastAsia="ru-RU"/>
              </w:rPr>
              <m:t>З</m:t>
            </m:r>
            <m:ctrlPr>
              <w:rPr>
                <w:rFonts w:ascii="Cambria Math" w:hAnsi="Cambria Math" w:eastAsia="Times New Roman" w:cs="Times New Roman"/>
                <w:i/>
                <w:sz w:val="28"/>
                <w:szCs w:val="28"/>
                <w:lang w:eastAsia="ru-RU"/>
              </w:rPr>
            </m:ctrlPr>
          </m:e>
          <m:sub>
            <m:r>
              <m:rPr/>
              <w:rPr>
                <w:rFonts w:ascii="Cambria Math" w:hAnsi="Cambria Math" w:eastAsia="Times New Roman" w:cs="Times New Roman"/>
                <w:sz w:val="28"/>
                <w:szCs w:val="28"/>
                <w:lang w:eastAsia="ru-RU"/>
              </w:rPr>
              <m:t>хп</m:t>
            </m:r>
            <m:ctrlPr>
              <w:rPr>
                <w:rFonts w:ascii="Cambria Math" w:hAnsi="Cambria Math" w:eastAsia="Times New Roman" w:cs="Times New Roman"/>
                <w:i/>
                <w:sz w:val="28"/>
                <w:szCs w:val="28"/>
                <w:lang w:eastAsia="ru-RU"/>
              </w:rPr>
            </m:ctrlPr>
          </m:sub>
        </m:sSub>
      </m:oMath>
      <w:r>
        <w:rPr>
          <w:rFonts w:ascii="Times New Roman" w:hAnsi="Times New Roman" w:eastAsia="Times New Roman" w:cs="Times New Roman"/>
          <w:sz w:val="28"/>
          <w:szCs w:val="28"/>
          <w:lang w:eastAsia="ru-RU"/>
        </w:rPr>
        <w:t>, определяемые по формуле:</w:t>
      </w:r>
    </w:p>
    <w:p w14:paraId="3EED190C">
      <w:pPr>
        <w:widowControl w:val="0"/>
        <w:autoSpaceDE w:val="0"/>
        <w:autoSpaceDN w:val="0"/>
        <w:spacing w:after="0" w:line="360" w:lineRule="auto"/>
        <w:ind w:firstLine="709"/>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drawing>
          <wp:inline distT="0" distB="0" distL="0" distR="0">
            <wp:extent cx="1725295" cy="476885"/>
            <wp:effectExtent l="0" t="0" r="8255" b="0"/>
            <wp:docPr id="82" name="Рисунок 82" descr="base_23792_85543_863"/>
            <wp:cNvGraphicFramePr/>
            <a:graphic xmlns:a="http://schemas.openxmlformats.org/drawingml/2006/main">
              <a:graphicData uri="http://schemas.openxmlformats.org/drawingml/2006/picture">
                <pic:pic xmlns:pic="http://schemas.openxmlformats.org/drawingml/2006/picture">
                  <pic:nvPicPr>
                    <pic:cNvPr id="82" name="Рисунок 82" descr="base_23792_85543_863"/>
                    <pic:cNvPicPr preferRelativeResize="0">
                      <a:picLocks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a:xfrm>
                      <a:off x="0" y="0"/>
                      <a:ext cx="1725295" cy="476885"/>
                    </a:xfrm>
                    <a:prstGeom prst="rect">
                      <a:avLst/>
                    </a:prstGeom>
                    <a:noFill/>
                    <a:ln>
                      <a:noFill/>
                    </a:ln>
                  </pic:spPr>
                </pic:pic>
              </a:graphicData>
            </a:graphic>
          </wp:inline>
        </w:drawing>
      </w:r>
    </w:p>
    <w:p w14:paraId="28E6B787">
      <w:pPr>
        <w:widowControl w:val="0"/>
        <w:autoSpaceDE w:val="0"/>
        <w:autoSpaceDN w:val="0"/>
        <w:spacing w:after="0" w:line="36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position w:val="-14"/>
          <w:sz w:val="28"/>
          <w:szCs w:val="28"/>
          <w:lang w:eastAsia="ru-RU"/>
        </w:rPr>
        <w:drawing>
          <wp:inline distT="0" distB="0" distL="0" distR="0">
            <wp:extent cx="295275" cy="257175"/>
            <wp:effectExtent l="0" t="0" r="0" b="0"/>
            <wp:docPr id="286" name="Рисунок 81" descr="base_23792_85543_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Рисунок 81" descr="base_23792_85543_864"/>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eastAsia="Times New Roman" w:cs="Times New Roman"/>
          <w:sz w:val="28"/>
          <w:szCs w:val="28"/>
          <w:lang w:eastAsia="ru-RU"/>
        </w:rPr>
        <w:t xml:space="preserve"> – цена i-й единицы хозяйственных товаров и принадлежностей;</w:t>
      </w:r>
    </w:p>
    <w:p w14:paraId="361B8B89">
      <w:pPr>
        <w:widowControl w:val="0"/>
        <w:autoSpaceDE w:val="0"/>
        <w:autoSpaceDN w:val="0"/>
        <w:spacing w:after="0" w:line="36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position w:val="-14"/>
          <w:sz w:val="28"/>
          <w:szCs w:val="28"/>
          <w:lang w:eastAsia="ru-RU"/>
        </w:rPr>
        <w:drawing>
          <wp:inline distT="0" distB="0" distL="0" distR="0">
            <wp:extent cx="333375" cy="257175"/>
            <wp:effectExtent l="0" t="0" r="0" b="0"/>
            <wp:docPr id="287" name="Рисунок 80" descr="base_23792_85543_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Рисунок 80" descr="base_23792_85543_865"/>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eastAsia="Times New Roman" w:cs="Times New Roman"/>
          <w:sz w:val="28"/>
          <w:szCs w:val="28"/>
          <w:lang w:eastAsia="ru-RU"/>
        </w:rPr>
        <w:t xml:space="preserve"> – количество i-го хозяйственного товара и принадлежностей.</w:t>
      </w:r>
    </w:p>
    <w:p w14:paraId="6CC82DB7">
      <w:pPr>
        <w:widowControl w:val="0"/>
        <w:autoSpaceDE w:val="0"/>
        <w:autoSpaceDN w:val="0"/>
        <w:spacing w:after="0" w:line="36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Расчет затрат производится в соответствии с нормативами согласно таблице №33.</w:t>
      </w:r>
    </w:p>
    <w:p w14:paraId="50B6822B">
      <w:pPr>
        <w:widowControl w:val="0"/>
        <w:autoSpaceDE w:val="0"/>
        <w:autoSpaceDN w:val="0"/>
        <w:spacing w:after="0" w:line="360" w:lineRule="auto"/>
        <w:ind w:firstLine="709"/>
        <w:jc w:val="both"/>
        <w:rPr>
          <w:rFonts w:ascii="Times New Roman" w:hAnsi="Times New Roman" w:cs="Times New Roman"/>
          <w:sz w:val="28"/>
          <w:szCs w:val="28"/>
        </w:rPr>
      </w:pPr>
    </w:p>
    <w:p w14:paraId="725C61A8">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№33</w:t>
      </w:r>
    </w:p>
    <w:p w14:paraId="0145101B">
      <w:pPr>
        <w:widowControl w:val="0"/>
        <w:autoSpaceDE w:val="0"/>
        <w:autoSpaceDN w:val="0"/>
        <w:adjustRightInd w:val="0"/>
        <w:spacing w:after="0" w:line="360" w:lineRule="auto"/>
        <w:ind w:firstLine="709"/>
        <w:jc w:val="right"/>
        <w:rPr>
          <w:rFonts w:ascii="Times New Roman" w:hAnsi="Times New Roman" w:cs="Times New Roman"/>
          <w:sz w:val="28"/>
          <w:szCs w:val="28"/>
        </w:rPr>
      </w:pPr>
    </w:p>
    <w:p w14:paraId="5D1B6F41">
      <w:pPr>
        <w:autoSpaceDE w:val="0"/>
        <w:autoSpaceDN w:val="0"/>
        <w:adjustRightInd w:val="0"/>
        <w:spacing w:after="0" w:line="240" w:lineRule="auto"/>
        <w:jc w:val="center"/>
        <w:rPr>
          <w:rFonts w:ascii="Times New Roman" w:hAnsi="Times New Roman" w:cs="Times New Roman" w:eastAsiaTheme="minorEastAsia"/>
          <w:bCs/>
          <w:sz w:val="28"/>
          <w:szCs w:val="28"/>
          <w:lang w:eastAsia="ru-RU"/>
        </w:rPr>
      </w:pPr>
      <w:r>
        <w:rPr>
          <w:rFonts w:ascii="Times New Roman" w:hAnsi="Times New Roman" w:cs="Times New Roman" w:eastAsiaTheme="minorEastAsia"/>
          <w:bCs/>
          <w:sz w:val="28"/>
          <w:szCs w:val="28"/>
          <w:lang w:eastAsia="ru-RU"/>
        </w:rPr>
        <w:t>Нормативы затрат на приобретение хозяйственных товаров и принадлежностей</w:t>
      </w:r>
    </w:p>
    <w:p w14:paraId="0087E8F5">
      <w:pPr>
        <w:autoSpaceDE w:val="0"/>
        <w:autoSpaceDN w:val="0"/>
        <w:adjustRightInd w:val="0"/>
        <w:spacing w:after="0" w:line="240" w:lineRule="auto"/>
        <w:ind w:firstLine="709"/>
        <w:jc w:val="center"/>
        <w:rPr>
          <w:rFonts w:ascii="Times New Roman" w:hAnsi="Times New Roman" w:cs="Times New Roman" w:eastAsiaTheme="minorEastAsia"/>
          <w:bCs/>
          <w:sz w:val="28"/>
          <w:szCs w:val="28"/>
          <w:lang w:eastAsia="ru-RU"/>
        </w:rPr>
      </w:pPr>
    </w:p>
    <w:tbl>
      <w:tblPr>
        <w:tblStyle w:val="37"/>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1"/>
        <w:gridCol w:w="3261"/>
        <w:gridCol w:w="1955"/>
      </w:tblGrid>
      <w:tr w14:paraId="244C1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tcPr>
          <w:p w14:paraId="7900B865">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Наименование </w:t>
            </w:r>
          </w:p>
        </w:tc>
        <w:tc>
          <w:tcPr>
            <w:tcW w:w="3261" w:type="dxa"/>
          </w:tcPr>
          <w:p w14:paraId="2BAF0024">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Норматив количества в год </w:t>
            </w:r>
          </w:p>
        </w:tc>
        <w:tc>
          <w:tcPr>
            <w:tcW w:w="1955" w:type="dxa"/>
          </w:tcPr>
          <w:p w14:paraId="73A5376C">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14:paraId="72E90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7" w:type="dxa"/>
            <w:gridSpan w:val="3"/>
          </w:tcPr>
          <w:p w14:paraId="645D3679">
            <w:pPr>
              <w:widowControl w:val="0"/>
              <w:autoSpaceDE w:val="0"/>
              <w:autoSpaceDN w:val="0"/>
              <w:adjustRightInd w:val="0"/>
              <w:spacing w:after="0" w:line="240" w:lineRule="auto"/>
              <w:jc w:val="center"/>
              <w:rPr>
                <w:rFonts w:ascii="Times New Roman" w:hAnsi="Times New Roman" w:cs="Times New Roman"/>
                <w:sz w:val="28"/>
                <w:szCs w:val="28"/>
              </w:rPr>
            </w:pPr>
          </w:p>
          <w:p w14:paraId="6899E4BC">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 и учреждение</w:t>
            </w:r>
          </w:p>
        </w:tc>
      </w:tr>
      <w:tr w14:paraId="74EC4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tcPr>
          <w:p w14:paraId="16DA1579">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3261" w:type="dxa"/>
          </w:tcPr>
          <w:p w14:paraId="477679A8">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955" w:type="dxa"/>
          </w:tcPr>
          <w:p w14:paraId="2725EC7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r>
      <w:tr w14:paraId="772C2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tcPr>
          <w:p w14:paraId="601CE929">
            <w:pPr>
              <w:widowControl w:val="0"/>
              <w:autoSpaceDE w:val="0"/>
              <w:autoSpaceDN w:val="0"/>
              <w:adjustRightInd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Аккумулятор</w:t>
            </w:r>
          </w:p>
        </w:tc>
        <w:tc>
          <w:tcPr>
            <w:tcW w:w="3261" w:type="dxa"/>
          </w:tcPr>
          <w:p w14:paraId="5029A53B">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 штук на учреждение</w:t>
            </w:r>
          </w:p>
        </w:tc>
        <w:tc>
          <w:tcPr>
            <w:tcW w:w="1955" w:type="dxa"/>
          </w:tcPr>
          <w:p w14:paraId="68B4B261">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14:paraId="77E57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tcPr>
          <w:p w14:paraId="0F86CC07">
            <w:pPr>
              <w:widowControl w:val="0"/>
              <w:autoSpaceDE w:val="0"/>
              <w:autoSpaceDN w:val="0"/>
              <w:adjustRightInd w:val="0"/>
              <w:spacing w:after="0" w:line="240" w:lineRule="auto"/>
              <w:rPr>
                <w:rFonts w:ascii="Times New Roman" w:hAnsi="Times New Roman" w:eastAsia="Times New Roman" w:cs="Times New Roman"/>
                <w:sz w:val="28"/>
                <w:szCs w:val="28"/>
                <w:lang w:val="en-US" w:eastAsia="ru-RU"/>
              </w:rPr>
            </w:pPr>
            <w:r>
              <w:rPr>
                <w:rFonts w:ascii="Times New Roman" w:hAnsi="Times New Roman" w:eastAsia="Times New Roman" w:cs="Times New Roman"/>
                <w:sz w:val="28"/>
                <w:szCs w:val="28"/>
                <w:lang w:eastAsia="ru-RU"/>
              </w:rPr>
              <w:t xml:space="preserve">Батарейка </w:t>
            </w:r>
          </w:p>
        </w:tc>
        <w:tc>
          <w:tcPr>
            <w:tcW w:w="3261" w:type="dxa"/>
          </w:tcPr>
          <w:p w14:paraId="414DD19B">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штук на учреждение</w:t>
            </w:r>
          </w:p>
        </w:tc>
        <w:tc>
          <w:tcPr>
            <w:tcW w:w="1955" w:type="dxa"/>
          </w:tcPr>
          <w:p w14:paraId="616EEF76">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14:paraId="33CCA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tcPr>
          <w:p w14:paraId="3A45E384">
            <w:pPr>
              <w:widowControl w:val="0"/>
              <w:autoSpaceDE w:val="0"/>
              <w:autoSpaceDN w:val="0"/>
              <w:adjustRightInd w:val="0"/>
              <w:spacing w:after="0" w:line="240" w:lineRule="auto"/>
              <w:rPr>
                <w:rFonts w:ascii="Times New Roman" w:hAnsi="Times New Roman" w:eastAsia="Times New Roman" w:cs="Times New Roman"/>
                <w:sz w:val="28"/>
                <w:szCs w:val="28"/>
                <w:lang w:eastAsia="ru-RU"/>
              </w:rPr>
            </w:pPr>
            <w:r>
              <w:rPr>
                <w:rFonts w:ascii="Times New Roman" w:hAnsi="Times New Roman" w:cs="Times New Roman"/>
                <w:sz w:val="28"/>
                <w:szCs w:val="28"/>
              </w:rPr>
              <w:t>Батарейка ААА</w:t>
            </w:r>
          </w:p>
        </w:tc>
        <w:tc>
          <w:tcPr>
            <w:tcW w:w="3261" w:type="dxa"/>
          </w:tcPr>
          <w:p w14:paraId="26360191">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 на работника</w:t>
            </w:r>
          </w:p>
        </w:tc>
        <w:tc>
          <w:tcPr>
            <w:tcW w:w="1955" w:type="dxa"/>
          </w:tcPr>
          <w:p w14:paraId="00E6DD83">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14:paraId="25B97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tcPr>
          <w:p w14:paraId="1D28DDE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Цветы</w:t>
            </w:r>
          </w:p>
        </w:tc>
        <w:tc>
          <w:tcPr>
            <w:tcW w:w="3261" w:type="dxa"/>
          </w:tcPr>
          <w:p w14:paraId="43D49678">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 букетов на министерство</w:t>
            </w:r>
          </w:p>
        </w:tc>
        <w:tc>
          <w:tcPr>
            <w:tcW w:w="1955" w:type="dxa"/>
          </w:tcPr>
          <w:p w14:paraId="4D9D46FF">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3 000,00</w:t>
            </w:r>
          </w:p>
        </w:tc>
      </w:tr>
      <w:tr w14:paraId="09904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tcPr>
          <w:p w14:paraId="7AD9103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Обогреватель</w:t>
            </w:r>
          </w:p>
        </w:tc>
        <w:tc>
          <w:tcPr>
            <w:tcW w:w="3261" w:type="dxa"/>
          </w:tcPr>
          <w:p w14:paraId="7450C29B">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единицы на кабинет</w:t>
            </w:r>
          </w:p>
        </w:tc>
        <w:tc>
          <w:tcPr>
            <w:tcW w:w="1955" w:type="dxa"/>
          </w:tcPr>
          <w:p w14:paraId="5946BB67">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r w14:paraId="49C93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tcPr>
          <w:p w14:paraId="4FBC824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Мебельная фурнитура</w:t>
            </w:r>
          </w:p>
        </w:tc>
        <w:tc>
          <w:tcPr>
            <w:tcW w:w="3261" w:type="dxa"/>
          </w:tcPr>
          <w:p w14:paraId="0DDF41A7">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единицы на объект</w:t>
            </w:r>
          </w:p>
        </w:tc>
        <w:tc>
          <w:tcPr>
            <w:tcW w:w="1955" w:type="dxa"/>
          </w:tcPr>
          <w:p w14:paraId="48E6654E">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2 000,00</w:t>
            </w:r>
          </w:p>
        </w:tc>
      </w:tr>
      <w:tr w14:paraId="7E9B3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tcPr>
          <w:p w14:paraId="50E42D57">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Инструмент</w:t>
            </w:r>
          </w:p>
        </w:tc>
        <w:tc>
          <w:tcPr>
            <w:tcW w:w="3261" w:type="dxa"/>
          </w:tcPr>
          <w:p w14:paraId="5CAC4F7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единиц на министерство</w:t>
            </w:r>
          </w:p>
        </w:tc>
        <w:tc>
          <w:tcPr>
            <w:tcW w:w="1955" w:type="dxa"/>
          </w:tcPr>
          <w:p w14:paraId="5971D23C">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r w14:paraId="41470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tcPr>
          <w:p w14:paraId="3F6B12B6">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Жалюзи с карнизом, рулонные шторы</w:t>
            </w:r>
          </w:p>
        </w:tc>
        <w:tc>
          <w:tcPr>
            <w:tcW w:w="3261" w:type="dxa"/>
          </w:tcPr>
          <w:p w14:paraId="09B9AE28">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единицы на окно</w:t>
            </w:r>
          </w:p>
        </w:tc>
        <w:tc>
          <w:tcPr>
            <w:tcW w:w="1955" w:type="dxa"/>
          </w:tcPr>
          <w:p w14:paraId="335AE66F">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10 000,00 за м2</w:t>
            </w:r>
          </w:p>
        </w:tc>
      </w:tr>
      <w:tr w14:paraId="6A5D8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tcPr>
          <w:p w14:paraId="43420EE3">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Зеркало</w:t>
            </w:r>
          </w:p>
        </w:tc>
        <w:tc>
          <w:tcPr>
            <w:tcW w:w="3261" w:type="dxa"/>
          </w:tcPr>
          <w:p w14:paraId="5841E5EB">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штук</w:t>
            </w:r>
          </w:p>
        </w:tc>
        <w:tc>
          <w:tcPr>
            <w:tcW w:w="1955" w:type="dxa"/>
          </w:tcPr>
          <w:p w14:paraId="731E3ED6">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1 500,00</w:t>
            </w:r>
          </w:p>
        </w:tc>
      </w:tr>
      <w:tr w14:paraId="50BEF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tcPr>
          <w:p w14:paraId="7974D51B">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Средства индивидуальной защиты</w:t>
            </w:r>
          </w:p>
        </w:tc>
        <w:tc>
          <w:tcPr>
            <w:tcW w:w="3261" w:type="dxa"/>
          </w:tcPr>
          <w:p w14:paraId="12205DF4">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единиц на 1 сотрудника</w:t>
            </w:r>
          </w:p>
        </w:tc>
        <w:tc>
          <w:tcPr>
            <w:tcW w:w="1955" w:type="dxa"/>
          </w:tcPr>
          <w:p w14:paraId="7EC117E7">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14:paraId="6784D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tcPr>
          <w:p w14:paraId="4177E2F8">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Рециркулятор</w:t>
            </w:r>
          </w:p>
        </w:tc>
        <w:tc>
          <w:tcPr>
            <w:tcW w:w="3261" w:type="dxa"/>
          </w:tcPr>
          <w:p w14:paraId="17BEEF08">
            <w:pPr>
              <w:widowControl w:val="0"/>
              <w:autoSpaceDE w:val="0"/>
              <w:autoSpaceDN w:val="0"/>
              <w:adjustRightInd w:val="0"/>
              <w:spacing w:after="0" w:line="240" w:lineRule="auto"/>
              <w:jc w:val="center"/>
              <w:rPr>
                <w:rFonts w:ascii="Times New Roman" w:hAnsi="Times New Roman" w:cs="Times New Roman"/>
                <w:sz w:val="28"/>
                <w:szCs w:val="28"/>
              </w:rPr>
            </w:pPr>
          </w:p>
          <w:p w14:paraId="2F4B15D8">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единицы на кабинет</w:t>
            </w:r>
          </w:p>
        </w:tc>
        <w:tc>
          <w:tcPr>
            <w:tcW w:w="1955" w:type="dxa"/>
          </w:tcPr>
          <w:p w14:paraId="6E91B976">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25 000,00</w:t>
            </w:r>
          </w:p>
        </w:tc>
      </w:tr>
      <w:tr w14:paraId="7D0C7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tcPr>
          <w:p w14:paraId="2752BC7D">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Мешки для мусора разного объема</w:t>
            </w:r>
          </w:p>
        </w:tc>
        <w:tc>
          <w:tcPr>
            <w:tcW w:w="3261" w:type="dxa"/>
          </w:tcPr>
          <w:p w14:paraId="2C15D543">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87 упаковок на учреждение</w:t>
            </w:r>
          </w:p>
        </w:tc>
        <w:tc>
          <w:tcPr>
            <w:tcW w:w="1955" w:type="dxa"/>
          </w:tcPr>
          <w:p w14:paraId="5CA33A9D">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w:t>
            </w:r>
          </w:p>
        </w:tc>
      </w:tr>
      <w:tr w14:paraId="36C0B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tcPr>
          <w:p w14:paraId="03C72CCF">
            <w:pPr>
              <w:widowControl w:val="0"/>
              <w:autoSpaceDE w:val="0"/>
              <w:autoSpaceDN w:val="0"/>
              <w:adjustRightInd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Кабель соединительный</w:t>
            </w:r>
          </w:p>
        </w:tc>
        <w:tc>
          <w:tcPr>
            <w:tcW w:w="3261" w:type="dxa"/>
          </w:tcPr>
          <w:p w14:paraId="0B0EC65D">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кабинет</w:t>
            </w:r>
          </w:p>
        </w:tc>
        <w:tc>
          <w:tcPr>
            <w:tcW w:w="1955" w:type="dxa"/>
          </w:tcPr>
          <w:p w14:paraId="50DC83FF">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14:paraId="7039A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tcPr>
          <w:p w14:paraId="09D9CC74">
            <w:pPr>
              <w:widowControl w:val="0"/>
              <w:autoSpaceDE w:val="0"/>
              <w:autoSpaceDN w:val="0"/>
              <w:adjustRightInd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Патч-корд</w:t>
            </w:r>
          </w:p>
        </w:tc>
        <w:tc>
          <w:tcPr>
            <w:tcW w:w="3261" w:type="dxa"/>
          </w:tcPr>
          <w:p w14:paraId="03853584">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 2 на кабинет</w:t>
            </w:r>
          </w:p>
        </w:tc>
        <w:tc>
          <w:tcPr>
            <w:tcW w:w="1955" w:type="dxa"/>
          </w:tcPr>
          <w:p w14:paraId="2862C559">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14:paraId="5A41E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tcPr>
          <w:p w14:paraId="62A28168">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Перчатки резиновые</w:t>
            </w:r>
          </w:p>
        </w:tc>
        <w:tc>
          <w:tcPr>
            <w:tcW w:w="3261" w:type="dxa"/>
          </w:tcPr>
          <w:p w14:paraId="0F4B58E9">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не более 6 пар на учреждение</w:t>
            </w:r>
          </w:p>
        </w:tc>
        <w:tc>
          <w:tcPr>
            <w:tcW w:w="1955" w:type="dxa"/>
          </w:tcPr>
          <w:p w14:paraId="589EAC39">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w:t>
            </w:r>
          </w:p>
        </w:tc>
      </w:tr>
      <w:tr w14:paraId="1CD94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tcPr>
          <w:p w14:paraId="468E612D">
            <w:pPr>
              <w:widowControl w:val="0"/>
              <w:autoSpaceDE w:val="0"/>
              <w:autoSpaceDN w:val="0"/>
              <w:adjustRightInd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Салфетки для уборки</w:t>
            </w:r>
          </w:p>
        </w:tc>
        <w:tc>
          <w:tcPr>
            <w:tcW w:w="3261" w:type="dxa"/>
          </w:tcPr>
          <w:p w14:paraId="5F32D7E2">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штук на учреждение</w:t>
            </w:r>
          </w:p>
        </w:tc>
        <w:tc>
          <w:tcPr>
            <w:tcW w:w="1955" w:type="dxa"/>
          </w:tcPr>
          <w:p w14:paraId="3C90DF74">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14:paraId="15DBD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tcPr>
          <w:p w14:paraId="56042CD6">
            <w:pPr>
              <w:widowControl w:val="0"/>
              <w:autoSpaceDE w:val="0"/>
              <w:autoSpaceDN w:val="0"/>
              <w:adjustRightInd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Таблички на кабинеты</w:t>
            </w:r>
          </w:p>
        </w:tc>
        <w:tc>
          <w:tcPr>
            <w:tcW w:w="3261" w:type="dxa"/>
          </w:tcPr>
          <w:p w14:paraId="7938F42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кабинет</w:t>
            </w:r>
          </w:p>
        </w:tc>
        <w:tc>
          <w:tcPr>
            <w:tcW w:w="1955" w:type="dxa"/>
          </w:tcPr>
          <w:p w14:paraId="18FBFB14">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5000,00</w:t>
            </w:r>
          </w:p>
        </w:tc>
      </w:tr>
      <w:tr w14:paraId="36707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tcPr>
          <w:p w14:paraId="657E728B">
            <w:pPr>
              <w:widowControl w:val="0"/>
              <w:autoSpaceDE w:val="0"/>
              <w:autoSpaceDN w:val="0"/>
              <w:adjustRightInd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Элемент питания</w:t>
            </w:r>
          </w:p>
        </w:tc>
        <w:tc>
          <w:tcPr>
            <w:tcW w:w="3261" w:type="dxa"/>
          </w:tcPr>
          <w:p w14:paraId="3EFD2513">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штук на учреждение</w:t>
            </w:r>
          </w:p>
        </w:tc>
        <w:tc>
          <w:tcPr>
            <w:tcW w:w="1955" w:type="dxa"/>
          </w:tcPr>
          <w:p w14:paraId="108416EF">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14:paraId="11199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tcPr>
          <w:p w14:paraId="6582269B">
            <w:pPr>
              <w:widowControl w:val="0"/>
              <w:autoSpaceDE w:val="0"/>
              <w:autoSpaceDN w:val="0"/>
              <w:adjustRightInd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Материалы для электроосвещения</w:t>
            </w:r>
          </w:p>
        </w:tc>
        <w:tc>
          <w:tcPr>
            <w:tcW w:w="3261" w:type="dxa"/>
          </w:tcPr>
          <w:p w14:paraId="4D0FF1CF">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955" w:type="dxa"/>
          </w:tcPr>
          <w:p w14:paraId="0634AAAB">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w:t>
            </w:r>
          </w:p>
          <w:p w14:paraId="77BC6272">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250 000,00</w:t>
            </w:r>
          </w:p>
        </w:tc>
      </w:tr>
    </w:tbl>
    <w:p w14:paraId="595FABE1">
      <w:pPr>
        <w:ind w:firstLine="851"/>
        <w:rPr>
          <w:rFonts w:ascii="Times New Roman" w:hAnsi="Times New Roman" w:eastAsia="Times New Roman" w:cs="Times New Roman"/>
          <w:sz w:val="24"/>
          <w:szCs w:val="24"/>
          <w:lang w:eastAsia="ru-RU"/>
        </w:rPr>
      </w:pPr>
      <w:r>
        <w:rPr>
          <w:rFonts w:ascii="Times New Roman" w:hAnsi="Times New Roman" w:eastAsia="Times New Roman" w:cs="Times New Roman"/>
          <w:sz w:val="28"/>
          <w:szCs w:val="28"/>
          <w:lang w:eastAsia="ru-RU"/>
        </w:rPr>
        <w:t>*</w:t>
      </w:r>
      <w:r>
        <w:rPr>
          <w:rFonts w:ascii="Times New Roman" w:hAnsi="Times New Roman" w:eastAsia="Times New Roman" w:cs="Times New Roman"/>
          <w:sz w:val="24"/>
          <w:szCs w:val="24"/>
          <w:lang w:eastAsia="ru-RU"/>
        </w:rPr>
        <w:t>Количество и наименование хозяйственных товаров, принадлежностей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и учреждения.</w:t>
      </w:r>
    </w:p>
    <w:p w14:paraId="401C230D">
      <w:pPr>
        <w:widowControl w:val="0"/>
        <w:autoSpaceDE w:val="0"/>
        <w:autoSpaceDN w:val="0"/>
        <w:spacing w:before="240" w:after="0" w:line="36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15. Затраты на приобретение прочих товаров для обеспечения государственных нужд, включающих:</w:t>
      </w:r>
    </w:p>
    <w:p w14:paraId="12798DC1">
      <w:pPr>
        <w:widowControl w:val="0"/>
        <w:autoSpaceDE w:val="0"/>
        <w:autoSpaceDN w:val="0"/>
        <w:spacing w:after="0" w:line="36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15.1. Затраты на оказание услуг по изготовлению ключей усиленной электронной подписи, а также сертификатов ключей проверки электронных подписей, определяемые по формуле:</w:t>
      </w:r>
    </w:p>
    <w:p w14:paraId="5C3FEB65">
      <w:pPr>
        <w:widowControl w:val="0"/>
        <w:autoSpaceDE w:val="0"/>
        <w:autoSpaceDN w:val="0"/>
        <w:spacing w:after="0" w:line="360" w:lineRule="auto"/>
        <w:ind w:firstLine="709"/>
        <w:jc w:val="both"/>
        <w:rPr>
          <w:rFonts w:ascii="Times New Roman" w:hAnsi="Times New Roman" w:eastAsia="Times New Roman" w:cs="Times New Roman"/>
          <w:sz w:val="28"/>
          <w:szCs w:val="28"/>
          <w:lang w:eastAsia="ru-RU"/>
        </w:rPr>
      </w:pPr>
      <m:oMathPara>
        <m:oMath>
          <m:sSub>
            <m:sSubPr>
              <m:ctrlPr>
                <w:rPr>
                  <w:rFonts w:ascii="Cambria Math" w:hAnsi="Cambria Math" w:eastAsia="Times New Roman" w:cs="Times New Roman"/>
                  <w:i/>
                  <w:sz w:val="28"/>
                  <w:szCs w:val="28"/>
                  <w:lang w:eastAsia="ru-RU"/>
                </w:rPr>
              </m:ctrlPr>
            </m:sSubPr>
            <m:e>
              <m:r>
                <m:rPr/>
                <w:rPr>
                  <w:rFonts w:ascii="Cambria Math" w:hAnsi="Cambria Math" w:eastAsia="Times New Roman" w:cs="Times New Roman"/>
                  <w:sz w:val="28"/>
                  <w:szCs w:val="28"/>
                  <w:lang w:eastAsia="ru-RU"/>
                </w:rPr>
                <m:t>З</m:t>
              </m:r>
              <m:ctrlPr>
                <w:rPr>
                  <w:rFonts w:ascii="Cambria Math" w:hAnsi="Cambria Math" w:eastAsia="Times New Roman" w:cs="Times New Roman"/>
                  <w:i/>
                  <w:sz w:val="28"/>
                  <w:szCs w:val="28"/>
                  <w:lang w:eastAsia="ru-RU"/>
                </w:rPr>
              </m:ctrlPr>
            </m:e>
            <m:sub>
              <m:r>
                <m:rPr/>
                <w:rPr>
                  <w:rFonts w:ascii="Cambria Math" w:hAnsi="Cambria Math" w:eastAsia="Times New Roman" w:cs="Times New Roman"/>
                  <w:sz w:val="28"/>
                  <w:szCs w:val="28"/>
                  <w:lang w:eastAsia="ru-RU"/>
                </w:rPr>
                <m:t>уэп</m:t>
              </m:r>
              <m:ctrlPr>
                <w:rPr>
                  <w:rFonts w:ascii="Cambria Math" w:hAnsi="Cambria Math" w:eastAsia="Times New Roman" w:cs="Times New Roman"/>
                  <w:i/>
                  <w:sz w:val="28"/>
                  <w:szCs w:val="28"/>
                  <w:lang w:eastAsia="ru-RU"/>
                </w:rPr>
              </m:ctrlPr>
            </m:sub>
          </m:sSub>
          <m:r>
            <m:rPr/>
            <w:rPr>
              <w:rFonts w:ascii="Cambria Math" w:hAnsi="Cambria Math" w:eastAsia="Times New Roman" w:cs="Times New Roman"/>
              <w:sz w:val="28"/>
              <w:szCs w:val="28"/>
              <w:lang w:eastAsia="ru-RU"/>
            </w:rPr>
            <m:t>=</m:t>
          </m:r>
          <m:nary>
            <m:naryPr>
              <m:chr m:val="∑"/>
              <m:limLoc m:val="undOvr"/>
              <m:ctrlPr>
                <w:rPr>
                  <w:rFonts w:ascii="Cambria Math" w:hAnsi="Cambria Math" w:eastAsia="Times New Roman" w:cs="Times New Roman"/>
                  <w:i/>
                  <w:sz w:val="28"/>
                  <w:szCs w:val="28"/>
                  <w:lang w:eastAsia="ru-RU"/>
                </w:rPr>
              </m:ctrlPr>
            </m:naryPr>
            <m:sub>
              <m:r>
                <m:rPr/>
                <w:rPr>
                  <w:rFonts w:ascii="Cambria Math" w:hAnsi="Cambria Math" w:eastAsia="Times New Roman" w:cs="Times New Roman"/>
                  <w:sz w:val="28"/>
                  <w:szCs w:val="28"/>
                  <w:lang w:eastAsia="ru-RU"/>
                </w:rPr>
                <m:t>i=1</m:t>
              </m:r>
              <m:ctrlPr>
                <w:rPr>
                  <w:rFonts w:ascii="Cambria Math" w:hAnsi="Cambria Math" w:eastAsia="Times New Roman" w:cs="Times New Roman"/>
                  <w:i/>
                  <w:sz w:val="28"/>
                  <w:szCs w:val="28"/>
                  <w:lang w:eastAsia="ru-RU"/>
                </w:rPr>
              </m:ctrlPr>
            </m:sub>
            <m:sup>
              <m:r>
                <m:rPr/>
                <w:rPr>
                  <w:rFonts w:ascii="Cambria Math" w:hAnsi="Cambria Math" w:eastAsia="Times New Roman" w:cs="Times New Roman"/>
                  <w:sz w:val="28"/>
                  <w:szCs w:val="28"/>
                  <w:lang w:val="en-US" w:eastAsia="ru-RU"/>
                </w:rPr>
                <m:t>n</m:t>
              </m:r>
              <m:ctrlPr>
                <w:rPr>
                  <w:rFonts w:ascii="Cambria Math" w:hAnsi="Cambria Math" w:eastAsia="Times New Roman" w:cs="Times New Roman"/>
                  <w:i/>
                  <w:sz w:val="28"/>
                  <w:szCs w:val="28"/>
                  <w:lang w:eastAsia="ru-RU"/>
                </w:rPr>
              </m:ctrlPr>
            </m:sup>
            <m:e>
              <m:sSub>
                <m:sSubPr>
                  <m:ctrlPr>
                    <w:rPr>
                      <w:rFonts w:ascii="Cambria Math" w:hAnsi="Cambria Math" w:eastAsia="Times New Roman" w:cs="Times New Roman"/>
                      <w:sz w:val="28"/>
                      <w:szCs w:val="28"/>
                      <w:lang w:eastAsia="ru-RU"/>
                    </w:rPr>
                  </m:ctrlPr>
                </m:sSubPr>
                <m:e>
                  <m:r>
                    <m:rPr>
                      <m:sty m:val="p"/>
                    </m:rPr>
                    <w:rPr>
                      <w:rFonts w:ascii="Cambria Math" w:hAnsi="Cambria Math" w:eastAsia="Times New Roman" w:cs="Times New Roman"/>
                      <w:sz w:val="28"/>
                      <w:szCs w:val="28"/>
                      <w:lang w:eastAsia="ru-RU"/>
                    </w:rPr>
                    <m:t>P</m:t>
                  </m:r>
                  <m:ctrlPr>
                    <w:rPr>
                      <w:rFonts w:ascii="Cambria Math" w:hAnsi="Cambria Math" w:eastAsia="Times New Roman" w:cs="Times New Roman"/>
                      <w:sz w:val="28"/>
                      <w:szCs w:val="28"/>
                      <w:lang w:eastAsia="ru-RU"/>
                    </w:rPr>
                  </m:ctrlPr>
                </m:e>
                <m:sub>
                  <m:r>
                    <m:rPr>
                      <m:sty m:val="p"/>
                    </m:rPr>
                    <w:rPr>
                      <w:rFonts w:ascii="Cambria Math" w:hAnsi="Cambria Math" w:eastAsia="Times New Roman" w:cs="Times New Roman"/>
                      <w:sz w:val="28"/>
                      <w:szCs w:val="28"/>
                      <w:lang w:eastAsia="ru-RU"/>
                    </w:rPr>
                    <m:t>i уэп</m:t>
                  </m:r>
                  <m:ctrlPr>
                    <w:rPr>
                      <w:rFonts w:ascii="Cambria Math" w:hAnsi="Cambria Math" w:eastAsia="Times New Roman" w:cs="Times New Roman"/>
                      <w:sz w:val="28"/>
                      <w:szCs w:val="28"/>
                      <w:lang w:eastAsia="ru-RU"/>
                    </w:rPr>
                  </m:ctrlPr>
                </m:sub>
              </m:sSub>
              <m:r>
                <m:rPr>
                  <m:sty m:val="p"/>
                </m:rPr>
                <w:rPr>
                  <w:rFonts w:ascii="Cambria Math" w:hAnsi="Cambria Math" w:eastAsia="Times New Roman" w:cs="Times New Roman"/>
                  <w:sz w:val="28"/>
                  <w:szCs w:val="28"/>
                  <w:lang w:eastAsia="ru-RU"/>
                </w:rPr>
                <m:t>×</m:t>
              </m:r>
              <m:sSub>
                <m:sSubPr>
                  <m:ctrlPr>
                    <w:rPr>
                      <w:rFonts w:ascii="Cambria Math" w:hAnsi="Cambria Math" w:eastAsia="Times New Roman" w:cs="Times New Roman"/>
                      <w:sz w:val="28"/>
                      <w:szCs w:val="28"/>
                      <w:lang w:eastAsia="ru-RU"/>
                    </w:rPr>
                  </m:ctrlPr>
                </m:sSubPr>
                <m:e>
                  <m:r>
                    <m:rPr>
                      <m:sty m:val="p"/>
                    </m:rPr>
                    <w:rPr>
                      <w:rFonts w:ascii="Cambria Math" w:hAnsi="Cambria Math" w:eastAsia="Times New Roman" w:cs="Times New Roman"/>
                      <w:sz w:val="28"/>
                      <w:szCs w:val="28"/>
                      <w:lang w:val="en-US" w:eastAsia="ru-RU"/>
                    </w:rPr>
                    <m:t>Q</m:t>
                  </m:r>
                  <m:ctrlPr>
                    <w:rPr>
                      <w:rFonts w:ascii="Cambria Math" w:hAnsi="Cambria Math" w:eastAsia="Times New Roman" w:cs="Times New Roman"/>
                      <w:sz w:val="28"/>
                      <w:szCs w:val="28"/>
                      <w:lang w:eastAsia="ru-RU"/>
                    </w:rPr>
                  </m:ctrlPr>
                </m:e>
                <m:sub>
                  <m:r>
                    <m:rPr>
                      <m:sty m:val="p"/>
                    </m:rPr>
                    <w:rPr>
                      <w:rFonts w:ascii="Cambria Math" w:hAnsi="Cambria Math" w:eastAsia="Times New Roman" w:cs="Times New Roman"/>
                      <w:sz w:val="28"/>
                      <w:szCs w:val="28"/>
                      <w:lang w:eastAsia="ru-RU"/>
                    </w:rPr>
                    <m:t>i уэп</m:t>
                  </m:r>
                  <m:ctrlPr>
                    <w:rPr>
                      <w:rFonts w:ascii="Cambria Math" w:hAnsi="Cambria Math" w:eastAsia="Times New Roman" w:cs="Times New Roman"/>
                      <w:sz w:val="28"/>
                      <w:szCs w:val="28"/>
                      <w:lang w:eastAsia="ru-RU"/>
                    </w:rPr>
                  </m:ctrlPr>
                </m:sub>
              </m:sSub>
              <m:r>
                <m:rPr/>
                <w:rPr>
                  <w:rFonts w:ascii="Cambria Math" w:hAnsi="Cambria Math" w:eastAsia="Times New Roman" w:cs="Times New Roman"/>
                  <w:sz w:val="28"/>
                  <w:szCs w:val="28"/>
                  <w:lang w:eastAsia="ru-RU"/>
                </w:rPr>
                <m:t>, где</m:t>
              </m:r>
              <m:ctrlPr>
                <w:rPr>
                  <w:rFonts w:ascii="Cambria Math" w:hAnsi="Cambria Math" w:eastAsia="Times New Roman" w:cs="Times New Roman"/>
                  <w:i/>
                  <w:sz w:val="28"/>
                  <w:szCs w:val="28"/>
                  <w:lang w:eastAsia="ru-RU"/>
                </w:rPr>
              </m:ctrlPr>
            </m:e>
          </m:nary>
          <m:r>
            <m:rPr/>
            <w:rPr>
              <w:rFonts w:ascii="Cambria Math" w:hAnsi="Cambria Math" w:eastAsia="Times New Roman" w:cs="Times New Roman"/>
              <w:sz w:val="28"/>
              <w:szCs w:val="28"/>
              <w:lang w:eastAsia="ru-RU"/>
            </w:rPr>
            <m:t>:</m:t>
          </m:r>
        </m:oMath>
      </m:oMathPara>
    </w:p>
    <w:p w14:paraId="1B366A12">
      <w:pPr>
        <w:widowControl w:val="0"/>
        <w:autoSpaceDE w:val="0"/>
        <w:autoSpaceDN w:val="0"/>
        <w:spacing w:after="0" w:line="360" w:lineRule="auto"/>
        <w:ind w:firstLine="709"/>
        <w:jc w:val="both"/>
        <w:rPr>
          <w:rFonts w:ascii="Times New Roman" w:hAnsi="Times New Roman" w:eastAsia="Times New Roman" w:cs="Times New Roman"/>
          <w:sz w:val="28"/>
          <w:szCs w:val="28"/>
          <w:lang w:eastAsia="ru-RU"/>
        </w:rPr>
      </w:pPr>
      <m:oMath>
        <m:sSub>
          <m:sSubPr>
            <m:ctrlPr>
              <w:rPr>
                <w:rFonts w:ascii="Cambria Math" w:hAnsi="Cambria Math" w:eastAsia="Times New Roman" w:cs="Times New Roman"/>
                <w:sz w:val="28"/>
                <w:szCs w:val="28"/>
                <w:lang w:eastAsia="ru-RU"/>
              </w:rPr>
            </m:ctrlPr>
          </m:sSubPr>
          <m:e>
            <m:r>
              <m:rPr>
                <m:sty m:val="p"/>
              </m:rPr>
              <w:rPr>
                <w:rFonts w:ascii="Cambria Math" w:hAnsi="Cambria Math" w:eastAsia="Times New Roman" w:cs="Times New Roman"/>
                <w:sz w:val="28"/>
                <w:szCs w:val="28"/>
                <w:lang w:eastAsia="ru-RU"/>
              </w:rPr>
              <m:t>Р</m:t>
            </m:r>
            <m:ctrlPr>
              <w:rPr>
                <w:rFonts w:ascii="Cambria Math" w:hAnsi="Cambria Math" w:eastAsia="Times New Roman" w:cs="Times New Roman"/>
                <w:sz w:val="28"/>
                <w:szCs w:val="28"/>
                <w:lang w:eastAsia="ru-RU"/>
              </w:rPr>
            </m:ctrlPr>
          </m:e>
          <m:sub>
            <m:r>
              <m:rPr>
                <m:sty m:val="p"/>
              </m:rPr>
              <w:rPr>
                <w:rFonts w:ascii="Cambria Math" w:hAnsi="Cambria Math" w:eastAsia="Times New Roman" w:cs="Times New Roman"/>
                <w:sz w:val="28"/>
                <w:szCs w:val="28"/>
                <w:lang w:val="en-US" w:eastAsia="ru-RU"/>
              </w:rPr>
              <m:t>i</m:t>
            </m:r>
            <m:r>
              <m:rPr>
                <m:sty m:val="p"/>
              </m:rPr>
              <w:rPr>
                <w:rFonts w:ascii="Cambria Math" w:hAnsi="Cambria Math" w:eastAsia="Times New Roman" w:cs="Times New Roman"/>
                <w:sz w:val="28"/>
                <w:szCs w:val="28"/>
                <w:lang w:eastAsia="ru-RU"/>
              </w:rPr>
              <m:t xml:space="preserve"> уэп</m:t>
            </m:r>
            <m:ctrlPr>
              <w:rPr>
                <w:rFonts w:ascii="Cambria Math" w:hAnsi="Cambria Math" w:eastAsia="Times New Roman" w:cs="Times New Roman"/>
                <w:sz w:val="28"/>
                <w:szCs w:val="28"/>
                <w:lang w:eastAsia="ru-RU"/>
              </w:rPr>
            </m:ctrlPr>
          </m:sub>
        </m:sSub>
      </m:oMath>
      <w:r>
        <w:rPr>
          <w:rFonts w:ascii="Times New Roman" w:hAnsi="Times New Roman" w:eastAsia="Times New Roman" w:cs="Times New Roman"/>
          <w:sz w:val="28"/>
          <w:szCs w:val="28"/>
          <w:lang w:eastAsia="ru-RU"/>
        </w:rPr>
        <w:t xml:space="preserve">– количество </w:t>
      </w:r>
      <w:r>
        <w:rPr>
          <w:rFonts w:ascii="Times New Roman" w:hAnsi="Times New Roman" w:eastAsia="Times New Roman" w:cs="Times New Roman"/>
          <w:sz w:val="28"/>
          <w:szCs w:val="28"/>
          <w:lang w:val="en-US" w:eastAsia="ru-RU"/>
        </w:rPr>
        <w:t>i</w:t>
      </w:r>
      <w:r>
        <w:rPr>
          <w:rFonts w:ascii="Times New Roman" w:hAnsi="Times New Roman" w:eastAsia="Times New Roman" w:cs="Times New Roman"/>
          <w:sz w:val="28"/>
          <w:szCs w:val="28"/>
          <w:lang w:eastAsia="ru-RU"/>
        </w:rPr>
        <w:t>-х ключей усиленной электронной подписи, а также сертификатов ключей проверки электронных подписей;</w:t>
      </w:r>
    </w:p>
    <w:p w14:paraId="118FE8FE">
      <w:pPr>
        <w:widowControl w:val="0"/>
        <w:autoSpaceDE w:val="0"/>
        <w:autoSpaceDN w:val="0"/>
        <w:spacing w:after="0" w:line="360" w:lineRule="auto"/>
        <w:ind w:firstLine="709"/>
        <w:jc w:val="both"/>
        <w:rPr>
          <w:rFonts w:ascii="Times New Roman" w:hAnsi="Times New Roman" w:eastAsia="Times New Roman" w:cs="Times New Roman"/>
          <w:sz w:val="28"/>
          <w:szCs w:val="28"/>
          <w:lang w:eastAsia="ru-RU"/>
        </w:rPr>
      </w:pPr>
      <m:oMath>
        <m:sSub>
          <m:sSubPr>
            <m:ctrlPr>
              <w:rPr>
                <w:rFonts w:ascii="Cambria Math" w:hAnsi="Cambria Math" w:eastAsia="Times New Roman" w:cs="Times New Roman"/>
                <w:sz w:val="28"/>
                <w:szCs w:val="28"/>
                <w:lang w:eastAsia="ru-RU"/>
              </w:rPr>
            </m:ctrlPr>
          </m:sSubPr>
          <m:e>
            <m:r>
              <m:rPr>
                <m:sty m:val="p"/>
              </m:rPr>
              <w:rPr>
                <w:rFonts w:ascii="Cambria Math" w:hAnsi="Cambria Math" w:eastAsia="Times New Roman" w:cs="Times New Roman"/>
                <w:sz w:val="28"/>
                <w:szCs w:val="28"/>
                <w:lang w:eastAsia="ru-RU"/>
              </w:rPr>
              <m:t>Q</m:t>
            </m:r>
            <m:ctrlPr>
              <w:rPr>
                <w:rFonts w:ascii="Cambria Math" w:hAnsi="Cambria Math" w:eastAsia="Times New Roman" w:cs="Times New Roman"/>
                <w:sz w:val="28"/>
                <w:szCs w:val="28"/>
                <w:lang w:eastAsia="ru-RU"/>
              </w:rPr>
            </m:ctrlPr>
          </m:e>
          <m:sub>
            <m:r>
              <m:rPr>
                <m:sty m:val="p"/>
              </m:rPr>
              <w:rPr>
                <w:rFonts w:ascii="Cambria Math" w:hAnsi="Cambria Math" w:eastAsia="Times New Roman" w:cs="Times New Roman"/>
                <w:sz w:val="28"/>
                <w:szCs w:val="28"/>
                <w:lang w:eastAsia="ru-RU"/>
              </w:rPr>
              <m:t xml:space="preserve">i уэп </m:t>
            </m:r>
            <m:ctrlPr>
              <w:rPr>
                <w:rFonts w:ascii="Cambria Math" w:hAnsi="Cambria Math" w:eastAsia="Times New Roman" w:cs="Times New Roman"/>
                <w:sz w:val="28"/>
                <w:szCs w:val="28"/>
                <w:lang w:eastAsia="ru-RU"/>
              </w:rPr>
            </m:ctrlPr>
          </m:sub>
        </m:sSub>
      </m:oMath>
      <w:r>
        <w:rPr>
          <w:rFonts w:ascii="Times New Roman" w:hAnsi="Times New Roman" w:eastAsia="Times New Roman" w:cs="Times New Roman"/>
          <w:sz w:val="28"/>
          <w:szCs w:val="28"/>
          <w:lang w:eastAsia="ru-RU"/>
        </w:rPr>
        <w:t>– цена i-го ключа усиленной электронной подписи, а также сертификата ключа проверки электронных подписей.</w:t>
      </w:r>
    </w:p>
    <w:p w14:paraId="58EA1171">
      <w:pPr>
        <w:widowControl w:val="0"/>
        <w:autoSpaceDE w:val="0"/>
        <w:autoSpaceDN w:val="0"/>
        <w:spacing w:after="0" w:line="36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Ключи усиленной электронной подписи, а также сертификаты ключей проверки электронных подписей, предназначенные для использования в целях реализации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создаются и выдаются удостоверяющими центрами, получившими аккредитацию на соответствие требованиям Федерального закона от 06.04.2011 № 63-ФЗ «Об электронной подписи».</w:t>
      </w:r>
    </w:p>
    <w:p w14:paraId="6B631C33">
      <w:pPr>
        <w:widowControl w:val="0"/>
        <w:autoSpaceDE w:val="0"/>
        <w:autoSpaceDN w:val="0"/>
        <w:spacing w:after="0" w:line="36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Нормативы, применяемые при расчете нормативных затрат на оплату услуг по изготовлению передачи электронных подписей согласно таблице №33.1</w:t>
      </w:r>
    </w:p>
    <w:p w14:paraId="4C6D1EB0">
      <w:pPr>
        <w:widowControl w:val="0"/>
        <w:autoSpaceDE w:val="0"/>
        <w:autoSpaceDN w:val="0"/>
        <w:spacing w:after="0" w:line="360" w:lineRule="auto"/>
        <w:ind w:firstLine="709"/>
        <w:jc w:val="both"/>
        <w:rPr>
          <w:rFonts w:ascii="Times New Roman" w:hAnsi="Times New Roman" w:eastAsia="Times New Roman" w:cs="Times New Roman"/>
          <w:sz w:val="28"/>
          <w:szCs w:val="28"/>
          <w:lang w:eastAsia="ru-RU"/>
        </w:rPr>
      </w:pPr>
    </w:p>
    <w:p w14:paraId="3C1D9933">
      <w:pPr>
        <w:widowControl w:val="0"/>
        <w:autoSpaceDE w:val="0"/>
        <w:autoSpaceDN w:val="0"/>
        <w:spacing w:after="0" w:line="360" w:lineRule="auto"/>
        <w:ind w:firstLine="709"/>
        <w:jc w:val="right"/>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Таблица №33.1</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70"/>
        <w:gridCol w:w="4871"/>
      </w:tblGrid>
      <w:tr w14:paraId="5CA98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0" w:type="dxa"/>
          </w:tcPr>
          <w:p w14:paraId="26E73600">
            <w:pPr>
              <w:widowControl w:val="0"/>
              <w:autoSpaceDE w:val="0"/>
              <w:autoSpaceDN w:val="0"/>
              <w:spacing w:after="0" w:line="36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Количество услуг в год</w:t>
            </w:r>
          </w:p>
        </w:tc>
        <w:tc>
          <w:tcPr>
            <w:tcW w:w="4871" w:type="dxa"/>
          </w:tcPr>
          <w:p w14:paraId="0F0F652F">
            <w:pPr>
              <w:widowControl w:val="0"/>
              <w:autoSpaceDE w:val="0"/>
              <w:autoSpaceDN w:val="0"/>
              <w:spacing w:after="0" w:line="36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Цена единицы услуги(руб.)</w:t>
            </w:r>
          </w:p>
        </w:tc>
      </w:tr>
      <w:tr w14:paraId="411B2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1" w:type="dxa"/>
            <w:gridSpan w:val="2"/>
          </w:tcPr>
          <w:p w14:paraId="5C15884F">
            <w:pPr>
              <w:widowControl w:val="0"/>
              <w:autoSpaceDE w:val="0"/>
              <w:autoSpaceDN w:val="0"/>
              <w:spacing w:after="0" w:line="36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министерство</w:t>
            </w:r>
          </w:p>
        </w:tc>
      </w:tr>
      <w:tr w14:paraId="37BD7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0" w:type="dxa"/>
          </w:tcPr>
          <w:p w14:paraId="4A5D9737">
            <w:pPr>
              <w:widowControl w:val="0"/>
              <w:autoSpaceDE w:val="0"/>
              <w:autoSpaceDN w:val="0"/>
              <w:spacing w:after="0" w:line="36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не более 120 единиц на министерство в год</w:t>
            </w:r>
          </w:p>
        </w:tc>
        <w:tc>
          <w:tcPr>
            <w:tcW w:w="4871" w:type="dxa"/>
          </w:tcPr>
          <w:p w14:paraId="037EEFAD">
            <w:pPr>
              <w:widowControl w:val="0"/>
              <w:autoSpaceDE w:val="0"/>
              <w:autoSpaceDN w:val="0"/>
              <w:spacing w:after="0" w:line="36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не более 4 000,00</w:t>
            </w:r>
          </w:p>
        </w:tc>
      </w:tr>
      <w:tr w14:paraId="6B87B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1" w:type="dxa"/>
            <w:gridSpan w:val="2"/>
          </w:tcPr>
          <w:p w14:paraId="05ECE130">
            <w:pPr>
              <w:widowControl w:val="0"/>
              <w:autoSpaceDE w:val="0"/>
              <w:autoSpaceDN w:val="0"/>
              <w:spacing w:after="0" w:line="36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учреждение</w:t>
            </w:r>
          </w:p>
        </w:tc>
      </w:tr>
      <w:tr w14:paraId="1154E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0" w:type="dxa"/>
          </w:tcPr>
          <w:p w14:paraId="502FBF17">
            <w:pPr>
              <w:widowControl w:val="0"/>
              <w:autoSpaceDE w:val="0"/>
              <w:autoSpaceDN w:val="0"/>
              <w:spacing w:after="0" w:line="36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не более 10 единиц на учреждение в год</w:t>
            </w:r>
          </w:p>
        </w:tc>
        <w:tc>
          <w:tcPr>
            <w:tcW w:w="4871" w:type="dxa"/>
          </w:tcPr>
          <w:p w14:paraId="52C2AC32">
            <w:pPr>
              <w:widowControl w:val="0"/>
              <w:autoSpaceDE w:val="0"/>
              <w:autoSpaceDN w:val="0"/>
              <w:spacing w:after="0" w:line="36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не более 4 000,00</w:t>
            </w:r>
          </w:p>
        </w:tc>
      </w:tr>
    </w:tbl>
    <w:p w14:paraId="56CADEFE">
      <w:pPr>
        <w:widowControl w:val="0"/>
        <w:autoSpaceDE w:val="0"/>
        <w:autoSpaceDN w:val="0"/>
        <w:spacing w:after="0" w:line="360" w:lineRule="auto"/>
        <w:ind w:firstLine="709"/>
        <w:jc w:val="both"/>
        <w:rPr>
          <w:rFonts w:ascii="Times New Roman" w:hAnsi="Times New Roman" w:eastAsia="Times New Roman" w:cs="Times New Roman"/>
          <w:sz w:val="28"/>
          <w:szCs w:val="28"/>
          <w:lang w:eastAsia="ru-RU"/>
        </w:rPr>
      </w:pPr>
    </w:p>
    <w:p w14:paraId="20A6DB66">
      <w:pPr>
        <w:widowControl w:val="0"/>
        <w:autoSpaceDE w:val="0"/>
        <w:autoSpaceDN w:val="0"/>
        <w:spacing w:after="0" w:line="360" w:lineRule="auto"/>
        <w:ind w:firstLine="709"/>
        <w:jc w:val="both"/>
        <w:rPr>
          <w:rFonts w:ascii="Times New Roman" w:hAnsi="Times New Roman" w:eastAsia="Times New Roman" w:cs="Times New Roman"/>
          <w:sz w:val="28"/>
          <w:szCs w:val="28"/>
          <w:lang w:eastAsia="ru-RU"/>
        </w:rPr>
      </w:pPr>
    </w:p>
    <w:p w14:paraId="26AC0C98">
      <w:pPr>
        <w:widowControl w:val="0"/>
        <w:autoSpaceDE w:val="0"/>
        <w:autoSpaceDN w:val="0"/>
        <w:spacing w:after="0" w:line="36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15.2. Затраты на оказание услуг по изготовлению печатей и штампов (в том числе оснастки к ним), определяемые по формуле:</w:t>
      </w:r>
    </w:p>
    <w:p w14:paraId="316BF651">
      <w:pPr>
        <w:widowControl w:val="0"/>
        <w:autoSpaceDE w:val="0"/>
        <w:autoSpaceDN w:val="0"/>
        <w:spacing w:after="0" w:line="360" w:lineRule="auto"/>
        <w:ind w:firstLine="709"/>
        <w:jc w:val="both"/>
        <w:rPr>
          <w:rFonts w:ascii="Times New Roman" w:hAnsi="Times New Roman" w:eastAsia="Times New Roman" w:cs="Times New Roman"/>
          <w:sz w:val="28"/>
          <w:szCs w:val="28"/>
          <w:lang w:eastAsia="ru-RU"/>
        </w:rPr>
      </w:pPr>
      <m:oMathPara>
        <m:oMath>
          <m:sSub>
            <m:sSubPr>
              <m:ctrlPr>
                <w:rPr>
                  <w:rFonts w:ascii="Cambria Math" w:hAnsi="Cambria Math" w:eastAsia="Times New Roman" w:cs="Times New Roman"/>
                  <w:sz w:val="28"/>
                  <w:szCs w:val="28"/>
                  <w:lang w:eastAsia="ru-RU"/>
                </w:rPr>
              </m:ctrlPr>
            </m:sSubPr>
            <m:e>
              <m:r>
                <m:rPr>
                  <m:sty m:val="p"/>
                </m:rPr>
                <w:rPr>
                  <w:rFonts w:ascii="Cambria Math" w:hAnsi="Cambria Math" w:eastAsia="Times New Roman" w:cs="Times New Roman"/>
                  <w:sz w:val="28"/>
                  <w:szCs w:val="28"/>
                  <w:lang w:eastAsia="ru-RU"/>
                </w:rPr>
                <m:t>З</m:t>
              </m:r>
              <m:ctrlPr>
                <w:rPr>
                  <w:rFonts w:ascii="Cambria Math" w:hAnsi="Cambria Math" w:eastAsia="Times New Roman" w:cs="Times New Roman"/>
                  <w:sz w:val="28"/>
                  <w:szCs w:val="28"/>
                  <w:lang w:eastAsia="ru-RU"/>
                </w:rPr>
              </m:ctrlPr>
            </m:e>
            <m:sub>
              <m:r>
                <m:rPr>
                  <m:sty m:val="p"/>
                </m:rPr>
                <w:rPr>
                  <w:rFonts w:ascii="Cambria Math" w:hAnsi="Cambria Math" w:eastAsia="Times New Roman" w:cs="Times New Roman"/>
                  <w:sz w:val="28"/>
                  <w:szCs w:val="28"/>
                  <w:lang w:eastAsia="ru-RU"/>
                </w:rPr>
                <m:t>пш</m:t>
              </m:r>
              <m:ctrlPr>
                <w:rPr>
                  <w:rFonts w:ascii="Cambria Math" w:hAnsi="Cambria Math" w:eastAsia="Times New Roman" w:cs="Times New Roman"/>
                  <w:sz w:val="28"/>
                  <w:szCs w:val="28"/>
                  <w:lang w:eastAsia="ru-RU"/>
                </w:rPr>
              </m:ctrlPr>
            </m:sub>
          </m:sSub>
          <m:r>
            <m:rPr>
              <m:sty m:val="p"/>
            </m:rPr>
            <w:rPr>
              <w:rFonts w:ascii="Cambria Math" w:hAnsi="Cambria Math" w:eastAsia="Times New Roman" w:cs="Times New Roman"/>
              <w:sz w:val="28"/>
              <w:szCs w:val="28"/>
              <w:lang w:eastAsia="ru-RU"/>
            </w:rPr>
            <m:t>=</m:t>
          </m:r>
          <m:nary>
            <m:naryPr>
              <m:chr m:val="∑"/>
              <m:limLoc m:val="undOvr"/>
              <m:ctrlPr>
                <w:rPr>
                  <w:rFonts w:ascii="Cambria Math" w:hAnsi="Cambria Math" w:eastAsia="Times New Roman" w:cs="Times New Roman"/>
                  <w:sz w:val="28"/>
                  <w:szCs w:val="28"/>
                  <w:lang w:eastAsia="ru-RU"/>
                </w:rPr>
              </m:ctrlPr>
            </m:naryPr>
            <m:sub>
              <m:r>
                <m:rPr>
                  <m:sty m:val="p"/>
                </m:rPr>
                <w:rPr>
                  <w:rFonts w:ascii="Cambria Math" w:hAnsi="Cambria Math" w:eastAsia="Times New Roman" w:cs="Times New Roman"/>
                  <w:sz w:val="28"/>
                  <w:szCs w:val="28"/>
                  <w:lang w:eastAsia="ru-RU"/>
                </w:rPr>
                <m:t>i=1</m:t>
              </m:r>
              <m:ctrlPr>
                <w:rPr>
                  <w:rFonts w:ascii="Cambria Math" w:hAnsi="Cambria Math" w:eastAsia="Times New Roman" w:cs="Times New Roman"/>
                  <w:sz w:val="28"/>
                  <w:szCs w:val="28"/>
                  <w:lang w:eastAsia="ru-RU"/>
                </w:rPr>
              </m:ctrlPr>
            </m:sub>
            <m:sup>
              <m:r>
                <m:rPr>
                  <m:sty m:val="p"/>
                </m:rPr>
                <w:rPr>
                  <w:rFonts w:ascii="Cambria Math" w:hAnsi="Cambria Math" w:eastAsia="Times New Roman" w:cs="Times New Roman"/>
                  <w:sz w:val="28"/>
                  <w:szCs w:val="28"/>
                  <w:lang w:val="en-US" w:eastAsia="ru-RU"/>
                </w:rPr>
                <m:t>n</m:t>
              </m:r>
              <m:ctrlPr>
                <w:rPr>
                  <w:rFonts w:ascii="Cambria Math" w:hAnsi="Cambria Math" w:eastAsia="Times New Roman" w:cs="Times New Roman"/>
                  <w:sz w:val="28"/>
                  <w:szCs w:val="28"/>
                  <w:lang w:eastAsia="ru-RU"/>
                </w:rPr>
              </m:ctrlPr>
            </m:sup>
            <m:e>
              <m:sSub>
                <m:sSubPr>
                  <m:ctrlPr>
                    <w:rPr>
                      <w:rFonts w:ascii="Cambria Math" w:hAnsi="Cambria Math" w:eastAsia="Times New Roman" w:cs="Times New Roman"/>
                      <w:sz w:val="28"/>
                      <w:szCs w:val="28"/>
                      <w:lang w:eastAsia="ru-RU"/>
                    </w:rPr>
                  </m:ctrlPr>
                </m:sSubPr>
                <m:e>
                  <m:r>
                    <m:rPr>
                      <m:sty m:val="p"/>
                    </m:rPr>
                    <w:rPr>
                      <w:rFonts w:ascii="Cambria Math" w:hAnsi="Cambria Math" w:eastAsia="Times New Roman" w:cs="Times New Roman"/>
                      <w:sz w:val="28"/>
                      <w:szCs w:val="28"/>
                      <w:lang w:eastAsia="ru-RU"/>
                    </w:rPr>
                    <m:t>P</m:t>
                  </m:r>
                  <m:ctrlPr>
                    <w:rPr>
                      <w:rFonts w:ascii="Cambria Math" w:hAnsi="Cambria Math" w:eastAsia="Times New Roman" w:cs="Times New Roman"/>
                      <w:sz w:val="28"/>
                      <w:szCs w:val="28"/>
                      <w:lang w:eastAsia="ru-RU"/>
                    </w:rPr>
                  </m:ctrlPr>
                </m:e>
                <m:sub>
                  <m:r>
                    <m:rPr>
                      <m:sty m:val="p"/>
                    </m:rPr>
                    <w:rPr>
                      <w:rFonts w:ascii="Cambria Math" w:hAnsi="Cambria Math" w:eastAsia="Times New Roman" w:cs="Times New Roman"/>
                      <w:sz w:val="28"/>
                      <w:szCs w:val="28"/>
                      <w:lang w:eastAsia="ru-RU"/>
                    </w:rPr>
                    <m:t>i пш</m:t>
                  </m:r>
                  <m:ctrlPr>
                    <w:rPr>
                      <w:rFonts w:ascii="Cambria Math" w:hAnsi="Cambria Math" w:eastAsia="Times New Roman" w:cs="Times New Roman"/>
                      <w:sz w:val="28"/>
                      <w:szCs w:val="28"/>
                      <w:lang w:eastAsia="ru-RU"/>
                    </w:rPr>
                  </m:ctrlPr>
                </m:sub>
              </m:sSub>
              <m:r>
                <m:rPr>
                  <m:sty m:val="p"/>
                </m:rPr>
                <w:rPr>
                  <w:rFonts w:ascii="Cambria Math" w:hAnsi="Cambria Math" w:eastAsia="Times New Roman" w:cs="Times New Roman"/>
                  <w:sz w:val="28"/>
                  <w:szCs w:val="28"/>
                  <w:lang w:eastAsia="ru-RU"/>
                </w:rPr>
                <m:t>×</m:t>
              </m:r>
              <m:sSub>
                <m:sSubPr>
                  <m:ctrlPr>
                    <w:rPr>
                      <w:rFonts w:ascii="Cambria Math" w:hAnsi="Cambria Math" w:eastAsia="Times New Roman" w:cs="Times New Roman"/>
                      <w:sz w:val="28"/>
                      <w:szCs w:val="28"/>
                      <w:lang w:eastAsia="ru-RU"/>
                    </w:rPr>
                  </m:ctrlPr>
                </m:sSubPr>
                <m:e>
                  <m:r>
                    <m:rPr>
                      <m:sty m:val="p"/>
                    </m:rPr>
                    <w:rPr>
                      <w:rFonts w:ascii="Cambria Math" w:hAnsi="Cambria Math" w:eastAsia="Times New Roman" w:cs="Times New Roman"/>
                      <w:sz w:val="28"/>
                      <w:szCs w:val="28"/>
                      <w:lang w:val="en-US" w:eastAsia="ru-RU"/>
                    </w:rPr>
                    <m:t>Q</m:t>
                  </m:r>
                  <m:ctrlPr>
                    <w:rPr>
                      <w:rFonts w:ascii="Cambria Math" w:hAnsi="Cambria Math" w:eastAsia="Times New Roman" w:cs="Times New Roman"/>
                      <w:sz w:val="28"/>
                      <w:szCs w:val="28"/>
                      <w:lang w:eastAsia="ru-RU"/>
                    </w:rPr>
                  </m:ctrlPr>
                </m:e>
                <m:sub>
                  <m:r>
                    <m:rPr>
                      <m:sty m:val="p"/>
                    </m:rPr>
                    <w:rPr>
                      <w:rFonts w:ascii="Cambria Math" w:hAnsi="Cambria Math" w:eastAsia="Times New Roman" w:cs="Times New Roman"/>
                      <w:sz w:val="28"/>
                      <w:szCs w:val="28"/>
                      <w:lang w:eastAsia="ru-RU"/>
                    </w:rPr>
                    <m:t>i пш</m:t>
                  </m:r>
                  <m:ctrlPr>
                    <w:rPr>
                      <w:rFonts w:ascii="Cambria Math" w:hAnsi="Cambria Math" w:eastAsia="Times New Roman" w:cs="Times New Roman"/>
                      <w:sz w:val="28"/>
                      <w:szCs w:val="28"/>
                      <w:lang w:eastAsia="ru-RU"/>
                    </w:rPr>
                  </m:ctrlPr>
                </m:sub>
              </m:sSub>
              <m:r>
                <m:rPr>
                  <m:sty m:val="p"/>
                </m:rPr>
                <w:rPr>
                  <w:rFonts w:ascii="Cambria Math" w:hAnsi="Cambria Math" w:eastAsia="Times New Roman" w:cs="Times New Roman"/>
                  <w:sz w:val="28"/>
                  <w:szCs w:val="28"/>
                  <w:lang w:eastAsia="ru-RU"/>
                </w:rPr>
                <m:t>, где:</m:t>
              </m:r>
              <m:ctrlPr>
                <w:rPr>
                  <w:rFonts w:ascii="Cambria Math" w:hAnsi="Cambria Math" w:eastAsia="Times New Roman" w:cs="Times New Roman"/>
                  <w:sz w:val="28"/>
                  <w:szCs w:val="28"/>
                  <w:lang w:eastAsia="ru-RU"/>
                </w:rPr>
              </m:ctrlPr>
            </m:e>
          </m:nary>
        </m:oMath>
      </m:oMathPara>
    </w:p>
    <w:p w14:paraId="15D545C3">
      <w:pPr>
        <w:widowControl w:val="0"/>
        <w:autoSpaceDE w:val="0"/>
        <w:autoSpaceDN w:val="0"/>
        <w:spacing w:after="0" w:line="360" w:lineRule="auto"/>
        <w:ind w:firstLine="709"/>
        <w:jc w:val="both"/>
        <w:rPr>
          <w:rFonts w:ascii="Times New Roman" w:hAnsi="Times New Roman" w:eastAsia="Times New Roman" w:cs="Times New Roman"/>
          <w:sz w:val="28"/>
          <w:szCs w:val="28"/>
          <w:lang w:eastAsia="ru-RU"/>
        </w:rPr>
      </w:pPr>
      <m:oMath>
        <m:sSub>
          <m:sSubPr>
            <m:ctrlPr>
              <w:rPr>
                <w:rFonts w:ascii="Cambria Math" w:hAnsi="Cambria Math" w:eastAsia="Times New Roman" w:cs="Times New Roman"/>
                <w:sz w:val="28"/>
                <w:szCs w:val="28"/>
                <w:lang w:eastAsia="ru-RU"/>
              </w:rPr>
            </m:ctrlPr>
          </m:sSubPr>
          <m:e>
            <m:r>
              <m:rPr>
                <m:sty m:val="p"/>
              </m:rPr>
              <w:rPr>
                <w:rFonts w:ascii="Cambria Math" w:hAnsi="Cambria Math" w:eastAsia="Times New Roman" w:cs="Times New Roman"/>
                <w:sz w:val="28"/>
                <w:szCs w:val="28"/>
                <w:lang w:eastAsia="ru-RU"/>
              </w:rPr>
              <m:t>Р</m:t>
            </m:r>
            <m:ctrlPr>
              <w:rPr>
                <w:rFonts w:ascii="Cambria Math" w:hAnsi="Cambria Math" w:eastAsia="Times New Roman" w:cs="Times New Roman"/>
                <w:sz w:val="28"/>
                <w:szCs w:val="28"/>
                <w:lang w:eastAsia="ru-RU"/>
              </w:rPr>
            </m:ctrlPr>
          </m:e>
          <m:sub>
            <m:r>
              <m:rPr>
                <m:sty m:val="p"/>
              </m:rPr>
              <w:rPr>
                <w:rFonts w:ascii="Cambria Math" w:hAnsi="Cambria Math" w:eastAsia="Times New Roman" w:cs="Times New Roman"/>
                <w:sz w:val="28"/>
                <w:szCs w:val="28"/>
                <w:lang w:val="en-US" w:eastAsia="ru-RU"/>
              </w:rPr>
              <m:t>i</m:t>
            </m:r>
            <m:r>
              <m:rPr>
                <m:sty m:val="p"/>
              </m:rPr>
              <w:rPr>
                <w:rFonts w:ascii="Cambria Math" w:hAnsi="Cambria Math" w:eastAsia="Times New Roman" w:cs="Times New Roman"/>
                <w:sz w:val="28"/>
                <w:szCs w:val="28"/>
                <w:lang w:eastAsia="ru-RU"/>
              </w:rPr>
              <m:t xml:space="preserve"> пш</m:t>
            </m:r>
            <m:ctrlPr>
              <w:rPr>
                <w:rFonts w:ascii="Cambria Math" w:hAnsi="Cambria Math" w:eastAsia="Times New Roman" w:cs="Times New Roman"/>
                <w:sz w:val="28"/>
                <w:szCs w:val="28"/>
                <w:lang w:eastAsia="ru-RU"/>
              </w:rPr>
            </m:ctrlPr>
          </m:sub>
        </m:sSub>
      </m:oMath>
      <w:r>
        <w:rPr>
          <w:rFonts w:ascii="Times New Roman" w:hAnsi="Times New Roman" w:eastAsia="Times New Roman" w:cs="Times New Roman"/>
          <w:sz w:val="28"/>
          <w:szCs w:val="28"/>
          <w:lang w:eastAsia="ru-RU"/>
        </w:rPr>
        <w:t>– количество i-х печатей и штампов (в том числе оснастки к ним);</w:t>
      </w:r>
    </w:p>
    <w:p w14:paraId="31E2167E">
      <w:pPr>
        <w:widowControl w:val="0"/>
        <w:autoSpaceDE w:val="0"/>
        <w:autoSpaceDN w:val="0"/>
        <w:spacing w:after="0" w:line="360" w:lineRule="auto"/>
        <w:ind w:firstLine="709"/>
        <w:jc w:val="both"/>
        <w:rPr>
          <w:rFonts w:ascii="Times New Roman" w:hAnsi="Times New Roman" w:eastAsia="Times New Roman" w:cs="Times New Roman"/>
          <w:sz w:val="28"/>
          <w:szCs w:val="28"/>
          <w:lang w:eastAsia="ru-RU"/>
        </w:rPr>
      </w:pPr>
      <m:oMath>
        <m:sSub>
          <m:sSubPr>
            <m:ctrlPr>
              <w:rPr>
                <w:rFonts w:ascii="Cambria Math" w:hAnsi="Cambria Math" w:eastAsia="Times New Roman" w:cs="Times New Roman"/>
                <w:sz w:val="28"/>
                <w:szCs w:val="28"/>
                <w:lang w:eastAsia="ru-RU"/>
              </w:rPr>
            </m:ctrlPr>
          </m:sSubPr>
          <m:e>
            <m:r>
              <m:rPr>
                <m:sty m:val="p"/>
              </m:rPr>
              <w:rPr>
                <w:rFonts w:ascii="Cambria Math" w:hAnsi="Cambria Math" w:eastAsia="Times New Roman" w:cs="Times New Roman"/>
                <w:sz w:val="28"/>
                <w:szCs w:val="28"/>
                <w:lang w:eastAsia="ru-RU"/>
              </w:rPr>
              <m:t>Q</m:t>
            </m:r>
            <m:ctrlPr>
              <w:rPr>
                <w:rFonts w:ascii="Cambria Math" w:hAnsi="Cambria Math" w:eastAsia="Times New Roman" w:cs="Times New Roman"/>
                <w:sz w:val="28"/>
                <w:szCs w:val="28"/>
                <w:lang w:eastAsia="ru-RU"/>
              </w:rPr>
            </m:ctrlPr>
          </m:e>
          <m:sub>
            <m:r>
              <m:rPr>
                <m:sty m:val="p"/>
              </m:rPr>
              <w:rPr>
                <w:rFonts w:ascii="Cambria Math" w:hAnsi="Cambria Math" w:eastAsia="Times New Roman" w:cs="Times New Roman"/>
                <w:sz w:val="28"/>
                <w:szCs w:val="28"/>
                <w:lang w:eastAsia="ru-RU"/>
              </w:rPr>
              <m:t xml:space="preserve">i пш </m:t>
            </m:r>
            <m:ctrlPr>
              <w:rPr>
                <w:rFonts w:ascii="Cambria Math" w:hAnsi="Cambria Math" w:eastAsia="Times New Roman" w:cs="Times New Roman"/>
                <w:sz w:val="28"/>
                <w:szCs w:val="28"/>
                <w:lang w:eastAsia="ru-RU"/>
              </w:rPr>
            </m:ctrlPr>
          </m:sub>
        </m:sSub>
      </m:oMath>
      <w:r>
        <w:rPr>
          <w:rFonts w:ascii="Times New Roman" w:hAnsi="Times New Roman" w:eastAsia="Times New Roman" w:cs="Times New Roman"/>
          <w:sz w:val="28"/>
          <w:szCs w:val="28"/>
          <w:lang w:eastAsia="ru-RU"/>
        </w:rPr>
        <w:t>– цена i-й печати и штампа (в том числе оснастки к ним).</w:t>
      </w:r>
    </w:p>
    <w:p w14:paraId="4985B2A5">
      <w:pPr>
        <w:widowControl w:val="0"/>
        <w:autoSpaceDE w:val="0"/>
        <w:autoSpaceDN w:val="0"/>
        <w:spacing w:before="240" w:after="0" w:line="36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15.3. Затраты на приобретение бутилированной воды (</w:t>
      </w:r>
      <m:oMath>
        <m:sSub>
          <m:sSubPr>
            <m:ctrlPr>
              <w:rPr>
                <w:rFonts w:ascii="Cambria Math" w:hAnsi="Cambria Math" w:eastAsia="Times New Roman" w:cs="Times New Roman"/>
                <w:sz w:val="28"/>
                <w:szCs w:val="28"/>
                <w:lang w:eastAsia="ru-RU"/>
              </w:rPr>
            </m:ctrlPr>
          </m:sSubPr>
          <m:e>
            <m:r>
              <m:rPr>
                <m:sty m:val="p"/>
              </m:rPr>
              <w:rPr>
                <w:rFonts w:ascii="Cambria Math" w:hAnsi="Cambria Math" w:eastAsia="Times New Roman" w:cs="Times New Roman"/>
                <w:sz w:val="28"/>
                <w:szCs w:val="28"/>
                <w:lang w:eastAsia="ru-RU"/>
              </w:rPr>
              <m:t>З</m:t>
            </m:r>
            <m:ctrlPr>
              <w:rPr>
                <w:rFonts w:ascii="Cambria Math" w:hAnsi="Cambria Math" w:eastAsia="Times New Roman" w:cs="Times New Roman"/>
                <w:sz w:val="28"/>
                <w:szCs w:val="28"/>
                <w:lang w:eastAsia="ru-RU"/>
              </w:rPr>
            </m:ctrlPr>
          </m:e>
          <m:sub>
            <m:r>
              <m:rPr/>
              <w:rPr>
                <w:rFonts w:ascii="Cambria Math" w:hAnsi="Cambria Math" w:eastAsia="Times New Roman" w:cs="Times New Roman"/>
                <w:sz w:val="28"/>
                <w:szCs w:val="28"/>
                <w:lang w:eastAsia="ru-RU"/>
              </w:rPr>
              <m:t>в</m:t>
            </m:r>
            <m:ctrlPr>
              <w:rPr>
                <w:rFonts w:ascii="Cambria Math" w:hAnsi="Cambria Math" w:eastAsia="Times New Roman" w:cs="Times New Roman"/>
                <w:sz w:val="28"/>
                <w:szCs w:val="28"/>
                <w:lang w:eastAsia="ru-RU"/>
              </w:rPr>
            </m:ctrlPr>
          </m:sub>
        </m:sSub>
        <m:r>
          <m:rPr/>
          <w:rPr>
            <w:rFonts w:ascii="Cambria Math" w:hAnsi="Cambria Math" w:eastAsia="Times New Roman" w:cs="Times New Roman"/>
            <w:sz w:val="28"/>
            <w:szCs w:val="28"/>
            <w:lang w:eastAsia="ru-RU"/>
          </w:rPr>
          <m:t>)</m:t>
        </m:r>
      </m:oMath>
      <w:r>
        <w:rPr>
          <w:rFonts w:ascii="Times New Roman" w:hAnsi="Times New Roman" w:eastAsia="Times New Roman" w:cs="Times New Roman"/>
          <w:sz w:val="28"/>
          <w:szCs w:val="28"/>
          <w:lang w:eastAsia="ru-RU"/>
        </w:rPr>
        <w:t>, определяемые по формуле:</w:t>
      </w:r>
    </w:p>
    <w:p w14:paraId="292339BC">
      <w:pPr>
        <w:widowControl w:val="0"/>
        <w:autoSpaceDE w:val="0"/>
        <w:autoSpaceDN w:val="0"/>
        <w:spacing w:after="0" w:line="360" w:lineRule="auto"/>
        <w:ind w:firstLine="709"/>
        <w:jc w:val="both"/>
        <w:rPr>
          <w:rFonts w:ascii="Times New Roman" w:hAnsi="Times New Roman" w:eastAsia="Times New Roman" w:cs="Times New Roman"/>
          <w:sz w:val="28"/>
          <w:szCs w:val="28"/>
          <w:lang w:eastAsia="ru-RU"/>
        </w:rPr>
      </w:pPr>
      <m:oMathPara>
        <m:oMath>
          <m:sSub>
            <m:sSubPr>
              <m:ctrlPr>
                <w:rPr>
                  <w:rFonts w:ascii="Cambria Math" w:hAnsi="Cambria Math" w:eastAsia="Times New Roman" w:cs="Times New Roman"/>
                  <w:sz w:val="28"/>
                  <w:szCs w:val="28"/>
                  <w:lang w:eastAsia="ru-RU"/>
                </w:rPr>
              </m:ctrlPr>
            </m:sSubPr>
            <m:e>
              <m:r>
                <m:rPr>
                  <m:sty m:val="p"/>
                </m:rPr>
                <w:rPr>
                  <w:rFonts w:ascii="Cambria Math" w:hAnsi="Cambria Math" w:eastAsia="Times New Roman" w:cs="Times New Roman"/>
                  <w:sz w:val="28"/>
                  <w:szCs w:val="28"/>
                  <w:lang w:eastAsia="ru-RU"/>
                </w:rPr>
                <m:t>З</m:t>
              </m:r>
              <m:ctrlPr>
                <w:rPr>
                  <w:rFonts w:ascii="Cambria Math" w:hAnsi="Cambria Math" w:eastAsia="Times New Roman" w:cs="Times New Roman"/>
                  <w:sz w:val="28"/>
                  <w:szCs w:val="28"/>
                  <w:lang w:eastAsia="ru-RU"/>
                </w:rPr>
              </m:ctrlPr>
            </m:e>
            <m:sub>
              <m:r>
                <m:rPr>
                  <m:sty m:val="p"/>
                </m:rPr>
                <w:rPr>
                  <w:rFonts w:ascii="Cambria Math" w:hAnsi="Cambria Math" w:eastAsia="Times New Roman" w:cs="Times New Roman"/>
                  <w:sz w:val="28"/>
                  <w:szCs w:val="28"/>
                  <w:lang w:eastAsia="ru-RU"/>
                </w:rPr>
                <m:t>в</m:t>
              </m:r>
              <m:ctrlPr>
                <w:rPr>
                  <w:rFonts w:ascii="Cambria Math" w:hAnsi="Cambria Math" w:eastAsia="Times New Roman" w:cs="Times New Roman"/>
                  <w:sz w:val="28"/>
                  <w:szCs w:val="28"/>
                  <w:lang w:eastAsia="ru-RU"/>
                </w:rPr>
              </m:ctrlPr>
            </m:sub>
          </m:sSub>
          <m:r>
            <m:rPr>
              <m:lit/>
              <m:sty m:val="p"/>
            </m:rPr>
            <w:rPr>
              <w:rFonts w:ascii="Cambria Math" w:hAnsi="Cambria Math" w:eastAsia="Times New Roman" w:cs="Times New Roman"/>
              <w:sz w:val="28"/>
              <w:szCs w:val="28"/>
              <w:lang w:eastAsia="ru-RU"/>
            </w:rPr>
            <m:t>=</m:t>
          </m:r>
          <m:nary>
            <m:naryPr>
              <m:chr m:val="∑"/>
              <m:limLoc m:val="undOvr"/>
              <m:ctrlPr>
                <w:rPr>
                  <w:rFonts w:ascii="Cambria Math" w:hAnsi="Cambria Math" w:eastAsia="Times New Roman" w:cs="Times New Roman"/>
                  <w:sz w:val="28"/>
                  <w:szCs w:val="28"/>
                  <w:lang w:eastAsia="ru-RU"/>
                </w:rPr>
              </m:ctrlPr>
            </m:naryPr>
            <m:sub>
              <m:r>
                <m:rPr>
                  <m:sty m:val="p"/>
                </m:rPr>
                <w:rPr>
                  <w:rFonts w:ascii="Cambria Math" w:hAnsi="Cambria Math" w:eastAsia="Times New Roman" w:cs="Times New Roman"/>
                  <w:sz w:val="28"/>
                  <w:szCs w:val="28"/>
                  <w:lang w:eastAsia="ru-RU"/>
                </w:rPr>
                <m:t>i=1</m:t>
              </m:r>
              <m:ctrlPr>
                <w:rPr>
                  <w:rFonts w:ascii="Cambria Math" w:hAnsi="Cambria Math" w:eastAsia="Times New Roman" w:cs="Times New Roman"/>
                  <w:sz w:val="28"/>
                  <w:szCs w:val="28"/>
                  <w:lang w:eastAsia="ru-RU"/>
                </w:rPr>
              </m:ctrlPr>
            </m:sub>
            <m:sup>
              <m:r>
                <m:rPr>
                  <m:sty m:val="p"/>
                </m:rPr>
                <w:rPr>
                  <w:rFonts w:ascii="Cambria Math" w:hAnsi="Cambria Math" w:eastAsia="Times New Roman" w:cs="Times New Roman"/>
                  <w:sz w:val="28"/>
                  <w:szCs w:val="28"/>
                  <w:lang w:eastAsia="ru-RU"/>
                </w:rPr>
                <m:t>n</m:t>
              </m:r>
              <m:ctrlPr>
                <w:rPr>
                  <w:rFonts w:ascii="Cambria Math" w:hAnsi="Cambria Math" w:eastAsia="Times New Roman" w:cs="Times New Roman"/>
                  <w:sz w:val="28"/>
                  <w:szCs w:val="28"/>
                  <w:lang w:eastAsia="ru-RU"/>
                </w:rPr>
              </m:ctrlPr>
            </m:sup>
            <m:e>
              <m:sSub>
                <m:sSubPr>
                  <m:ctrlPr>
                    <w:rPr>
                      <w:rFonts w:ascii="Cambria Math" w:hAnsi="Cambria Math" w:eastAsia="Times New Roman" w:cs="Times New Roman"/>
                      <w:sz w:val="28"/>
                      <w:szCs w:val="28"/>
                      <w:lang w:eastAsia="ru-RU"/>
                    </w:rPr>
                  </m:ctrlPr>
                </m:sSubPr>
                <m:e>
                  <m:r>
                    <m:rPr>
                      <m:sty m:val="p"/>
                    </m:rPr>
                    <w:rPr>
                      <w:rFonts w:ascii="Cambria Math" w:hAnsi="Cambria Math" w:eastAsia="Times New Roman" w:cs="Times New Roman"/>
                      <w:sz w:val="28"/>
                      <w:szCs w:val="28"/>
                      <w:lang w:eastAsia="ru-RU"/>
                    </w:rPr>
                    <m:t>Q</m:t>
                  </m:r>
                  <m:ctrlPr>
                    <w:rPr>
                      <w:rFonts w:ascii="Cambria Math" w:hAnsi="Cambria Math" w:eastAsia="Times New Roman" w:cs="Times New Roman"/>
                      <w:sz w:val="28"/>
                      <w:szCs w:val="28"/>
                      <w:lang w:eastAsia="ru-RU"/>
                    </w:rPr>
                  </m:ctrlPr>
                </m:e>
                <m:sub>
                  <m:r>
                    <m:rPr>
                      <m:sty m:val="p"/>
                    </m:rPr>
                    <w:rPr>
                      <w:rFonts w:ascii="Cambria Math" w:hAnsi="Cambria Math" w:eastAsia="Times New Roman" w:cs="Times New Roman"/>
                      <w:sz w:val="28"/>
                      <w:szCs w:val="28"/>
                      <w:lang w:eastAsia="ru-RU"/>
                    </w:rPr>
                    <m:t>i в</m:t>
                  </m:r>
                  <m:ctrlPr>
                    <w:rPr>
                      <w:rFonts w:ascii="Cambria Math" w:hAnsi="Cambria Math" w:eastAsia="Times New Roman" w:cs="Times New Roman"/>
                      <w:sz w:val="28"/>
                      <w:szCs w:val="28"/>
                      <w:lang w:eastAsia="ru-RU"/>
                    </w:rPr>
                  </m:ctrlPr>
                </m:sub>
              </m:sSub>
              <m:r>
                <m:rPr>
                  <m:sty m:val="p"/>
                </m:rPr>
                <w:rPr>
                  <w:rFonts w:ascii="Cambria Math" w:hAnsi="Cambria Math" w:eastAsia="Times New Roman" w:cs="Times New Roman"/>
                  <w:sz w:val="28"/>
                  <w:szCs w:val="28"/>
                  <w:lang w:eastAsia="ru-RU"/>
                </w:rPr>
                <m:t xml:space="preserve">× </m:t>
              </m:r>
              <m:sSub>
                <m:sSubPr>
                  <m:ctrlPr>
                    <w:rPr>
                      <w:rFonts w:ascii="Cambria Math" w:hAnsi="Cambria Math" w:eastAsia="Times New Roman" w:cs="Times New Roman"/>
                      <w:sz w:val="28"/>
                      <w:szCs w:val="28"/>
                      <w:lang w:eastAsia="ru-RU"/>
                    </w:rPr>
                  </m:ctrlPr>
                </m:sSubPr>
                <m:e>
                  <m:r>
                    <m:rPr>
                      <m:sty m:val="p"/>
                    </m:rPr>
                    <w:rPr>
                      <w:rFonts w:ascii="Cambria Math" w:hAnsi="Cambria Math" w:eastAsia="Times New Roman" w:cs="Times New Roman"/>
                      <w:sz w:val="28"/>
                      <w:szCs w:val="28"/>
                      <w:lang w:eastAsia="ru-RU"/>
                    </w:rPr>
                    <m:t>P</m:t>
                  </m:r>
                  <m:ctrlPr>
                    <w:rPr>
                      <w:rFonts w:ascii="Cambria Math" w:hAnsi="Cambria Math" w:eastAsia="Times New Roman" w:cs="Times New Roman"/>
                      <w:sz w:val="28"/>
                      <w:szCs w:val="28"/>
                      <w:lang w:eastAsia="ru-RU"/>
                    </w:rPr>
                  </m:ctrlPr>
                </m:e>
                <m:sub>
                  <m:r>
                    <m:rPr>
                      <m:sty m:val="p"/>
                    </m:rPr>
                    <w:rPr>
                      <w:rFonts w:ascii="Cambria Math" w:hAnsi="Cambria Math" w:eastAsia="Times New Roman" w:cs="Times New Roman"/>
                      <w:sz w:val="28"/>
                      <w:szCs w:val="28"/>
                      <w:lang w:eastAsia="ru-RU"/>
                    </w:rPr>
                    <m:t>i в,</m:t>
                  </m:r>
                  <m:ctrlPr>
                    <w:rPr>
                      <w:rFonts w:ascii="Cambria Math" w:hAnsi="Cambria Math" w:eastAsia="Times New Roman" w:cs="Times New Roman"/>
                      <w:sz w:val="28"/>
                      <w:szCs w:val="28"/>
                      <w:lang w:eastAsia="ru-RU"/>
                    </w:rPr>
                  </m:ctrlPr>
                </m:sub>
              </m:sSub>
              <m:r>
                <m:rPr>
                  <m:sty m:val="p"/>
                </m:rPr>
                <w:rPr>
                  <w:rFonts w:ascii="Cambria Math" w:hAnsi="Cambria Math" w:eastAsia="Times New Roman" w:cs="Times New Roman"/>
                  <w:sz w:val="28"/>
                  <w:szCs w:val="28"/>
                  <w:lang w:eastAsia="ru-RU"/>
                </w:rPr>
                <m:t>где:</m:t>
              </m:r>
              <m:ctrlPr>
                <w:rPr>
                  <w:rFonts w:ascii="Cambria Math" w:hAnsi="Cambria Math" w:eastAsia="Times New Roman" w:cs="Times New Roman"/>
                  <w:sz w:val="28"/>
                  <w:szCs w:val="28"/>
                  <w:lang w:eastAsia="ru-RU"/>
                </w:rPr>
              </m:ctrlPr>
            </m:e>
          </m:nary>
        </m:oMath>
      </m:oMathPara>
    </w:p>
    <w:p w14:paraId="476ABA50">
      <w:pPr>
        <w:widowControl w:val="0"/>
        <w:autoSpaceDE w:val="0"/>
        <w:autoSpaceDN w:val="0"/>
        <w:spacing w:after="0" w:line="360" w:lineRule="auto"/>
        <w:ind w:firstLine="709"/>
        <w:jc w:val="both"/>
        <w:rPr>
          <w:rFonts w:ascii="Times New Roman" w:hAnsi="Times New Roman" w:eastAsia="Times New Roman" w:cs="Times New Roman"/>
          <w:sz w:val="28"/>
          <w:szCs w:val="28"/>
          <w:lang w:eastAsia="ru-RU"/>
        </w:rPr>
      </w:pPr>
      <m:oMath>
        <m:sSub>
          <m:sSubPr>
            <m:ctrlPr>
              <w:rPr>
                <w:rFonts w:ascii="Cambria Math" w:hAnsi="Cambria Math" w:eastAsia="Times New Roman" w:cs="Times New Roman"/>
                <w:sz w:val="28"/>
                <w:szCs w:val="28"/>
                <w:lang w:eastAsia="ru-RU"/>
              </w:rPr>
            </m:ctrlPr>
          </m:sSubPr>
          <m:e>
            <m:r>
              <m:rPr>
                <m:sty m:val="p"/>
              </m:rPr>
              <w:rPr>
                <w:rFonts w:ascii="Cambria Math" w:hAnsi="Cambria Math" w:eastAsia="Times New Roman" w:cs="Times New Roman"/>
                <w:sz w:val="28"/>
                <w:szCs w:val="28"/>
                <w:lang w:eastAsia="ru-RU"/>
              </w:rPr>
              <m:t>Q</m:t>
            </m:r>
            <m:ctrlPr>
              <w:rPr>
                <w:rFonts w:ascii="Cambria Math" w:hAnsi="Cambria Math" w:eastAsia="Times New Roman" w:cs="Times New Roman"/>
                <w:sz w:val="28"/>
                <w:szCs w:val="28"/>
                <w:lang w:eastAsia="ru-RU"/>
              </w:rPr>
            </m:ctrlPr>
          </m:e>
          <m:sub>
            <m:r>
              <m:rPr>
                <m:sty m:val="p"/>
              </m:rPr>
              <w:rPr>
                <w:rFonts w:ascii="Cambria Math" w:hAnsi="Cambria Math" w:eastAsia="Times New Roman" w:cs="Times New Roman"/>
                <w:sz w:val="28"/>
                <w:szCs w:val="28"/>
                <w:lang w:eastAsia="ru-RU"/>
              </w:rPr>
              <m:t>i в</m:t>
            </m:r>
            <m:ctrlPr>
              <w:rPr>
                <w:rFonts w:ascii="Cambria Math" w:hAnsi="Cambria Math" w:eastAsia="Times New Roman" w:cs="Times New Roman"/>
                <w:sz w:val="28"/>
                <w:szCs w:val="28"/>
                <w:lang w:eastAsia="ru-RU"/>
              </w:rPr>
            </m:ctrlPr>
          </m:sub>
        </m:sSub>
      </m:oMath>
      <w:r>
        <w:rPr>
          <w:rFonts w:ascii="Times New Roman" w:hAnsi="Times New Roman" w:cs="Times New Roman"/>
          <w:sz w:val="28"/>
          <w:szCs w:val="28"/>
        </w:rPr>
        <w:t xml:space="preserve">– </w:t>
      </w:r>
      <w:r>
        <w:rPr>
          <w:rFonts w:ascii="Times New Roman" w:hAnsi="Times New Roman" w:eastAsia="Times New Roman" w:cs="Times New Roman"/>
          <w:sz w:val="28"/>
          <w:szCs w:val="28"/>
          <w:lang w:eastAsia="ru-RU"/>
        </w:rPr>
        <w:t>количество единицы i-й бутилированной воды;</w:t>
      </w:r>
    </w:p>
    <w:p w14:paraId="647A60CF">
      <w:pPr>
        <w:widowControl w:val="0"/>
        <w:autoSpaceDE w:val="0"/>
        <w:autoSpaceDN w:val="0"/>
        <w:spacing w:after="0" w:line="360" w:lineRule="auto"/>
        <w:ind w:firstLine="709"/>
        <w:jc w:val="both"/>
        <w:rPr>
          <w:rFonts w:ascii="Times New Roman" w:hAnsi="Times New Roman" w:eastAsia="Times New Roman" w:cs="Times New Roman"/>
          <w:sz w:val="28"/>
          <w:szCs w:val="28"/>
          <w:lang w:eastAsia="ru-RU"/>
        </w:rPr>
      </w:pPr>
      <m:oMath>
        <m:sSub>
          <m:sSubPr>
            <m:ctrlPr>
              <w:rPr>
                <w:rFonts w:ascii="Cambria Math" w:hAnsi="Cambria Math" w:eastAsia="Times New Roman" w:cs="Times New Roman"/>
                <w:sz w:val="28"/>
                <w:szCs w:val="28"/>
                <w:lang w:eastAsia="ru-RU"/>
              </w:rPr>
            </m:ctrlPr>
          </m:sSubPr>
          <m:e>
            <m:r>
              <m:rPr>
                <m:sty m:val="p"/>
              </m:rPr>
              <w:rPr>
                <w:rFonts w:ascii="Cambria Math" w:hAnsi="Cambria Math" w:eastAsia="Times New Roman" w:cs="Times New Roman"/>
                <w:sz w:val="28"/>
                <w:szCs w:val="28"/>
                <w:lang w:eastAsia="ru-RU"/>
              </w:rPr>
              <m:t>P</m:t>
            </m:r>
            <m:ctrlPr>
              <w:rPr>
                <w:rFonts w:ascii="Cambria Math" w:hAnsi="Cambria Math" w:eastAsia="Times New Roman" w:cs="Times New Roman"/>
                <w:sz w:val="28"/>
                <w:szCs w:val="28"/>
                <w:lang w:eastAsia="ru-RU"/>
              </w:rPr>
            </m:ctrlPr>
          </m:e>
          <m:sub>
            <m:r>
              <m:rPr>
                <m:sty m:val="p"/>
              </m:rPr>
              <w:rPr>
                <w:rFonts w:ascii="Cambria Math" w:hAnsi="Cambria Math" w:eastAsia="Times New Roman" w:cs="Times New Roman"/>
                <w:sz w:val="28"/>
                <w:szCs w:val="28"/>
                <w:lang w:eastAsia="ru-RU"/>
              </w:rPr>
              <m:t>i в</m:t>
            </m:r>
            <m:ctrlPr>
              <w:rPr>
                <w:rFonts w:ascii="Cambria Math" w:hAnsi="Cambria Math" w:eastAsia="Times New Roman" w:cs="Times New Roman"/>
                <w:sz w:val="28"/>
                <w:szCs w:val="28"/>
                <w:lang w:eastAsia="ru-RU"/>
              </w:rPr>
            </m:ctrlPr>
          </m:sub>
        </m:sSub>
      </m:oMath>
      <w:r>
        <w:rPr>
          <w:rFonts w:ascii="Times New Roman" w:hAnsi="Times New Roman" w:cs="Times New Roman"/>
          <w:sz w:val="28"/>
          <w:szCs w:val="28"/>
        </w:rPr>
        <w:t xml:space="preserve">– </w:t>
      </w:r>
      <w:r>
        <w:rPr>
          <w:rFonts w:ascii="Times New Roman" w:hAnsi="Times New Roman" w:eastAsia="Times New Roman" w:cs="Times New Roman"/>
          <w:sz w:val="28"/>
          <w:szCs w:val="28"/>
          <w:lang w:eastAsia="ru-RU"/>
        </w:rPr>
        <w:t>цена единицы i-й бутилированной воды.</w:t>
      </w:r>
    </w:p>
    <w:p w14:paraId="45E0C58F">
      <w:pPr>
        <w:widowControl w:val="0"/>
        <w:autoSpaceDE w:val="0"/>
        <w:autoSpaceDN w:val="0"/>
        <w:spacing w:after="0" w:line="36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Затраты на приобретение бутилированной воды не предусмотрены.</w:t>
      </w:r>
    </w:p>
    <w:p w14:paraId="33E12EDC">
      <w:pPr>
        <w:widowControl w:val="0"/>
        <w:autoSpaceDE w:val="0"/>
        <w:autoSpaceDN w:val="0"/>
        <w:spacing w:before="120" w:after="0" w:line="36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3. Затраты на приобретение образовательных услуг по профессиональной переподготовке и повышению квалификации </w:t>
      </w:r>
      <w:r>
        <w:rPr>
          <w:rFonts w:ascii="Times New Roman" w:hAnsi="Times New Roman" w:eastAsia="Times New Roman" w:cs="Times New Roman"/>
          <w:position w:val="-12"/>
          <w:sz w:val="28"/>
          <w:szCs w:val="28"/>
          <w:lang w:eastAsia="ru-RU"/>
        </w:rPr>
        <w:drawing>
          <wp:inline distT="0" distB="0" distL="0" distR="0">
            <wp:extent cx="413385" cy="254635"/>
            <wp:effectExtent l="0" t="0" r="5715" b="0"/>
            <wp:docPr id="69" name="Рисунок 69" descr="base_23792_85543_876"/>
            <wp:cNvGraphicFramePr/>
            <a:graphic xmlns:a="http://schemas.openxmlformats.org/drawingml/2006/main">
              <a:graphicData uri="http://schemas.openxmlformats.org/drawingml/2006/picture">
                <pic:pic xmlns:pic="http://schemas.openxmlformats.org/drawingml/2006/picture">
                  <pic:nvPicPr>
                    <pic:cNvPr id="69" name="Рисунок 69" descr="base_23792_85543_876"/>
                    <pic:cNvPicPr preferRelativeResize="0">
                      <a:picLocks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a:xfrm>
                      <a:off x="0" y="0"/>
                      <a:ext cx="413385" cy="254635"/>
                    </a:xfrm>
                    <a:prstGeom prst="rect">
                      <a:avLst/>
                    </a:prstGeom>
                    <a:noFill/>
                    <a:ln>
                      <a:noFill/>
                    </a:ln>
                  </pic:spPr>
                </pic:pic>
              </a:graphicData>
            </a:graphic>
          </wp:inline>
        </w:drawing>
      </w:r>
      <w:r>
        <w:rPr>
          <w:rFonts w:ascii="Times New Roman" w:hAnsi="Times New Roman" w:eastAsia="Times New Roman" w:cs="Times New Roman"/>
          <w:sz w:val="28"/>
          <w:szCs w:val="28"/>
          <w:lang w:eastAsia="ru-RU"/>
        </w:rPr>
        <w:t xml:space="preserve"> определяются по формуле:</w:t>
      </w:r>
    </w:p>
    <w:p w14:paraId="60CF7939">
      <w:pPr>
        <w:widowControl w:val="0"/>
        <w:autoSpaceDE w:val="0"/>
        <w:autoSpaceDN w:val="0"/>
        <w:spacing w:after="0" w:line="360" w:lineRule="auto"/>
        <w:ind w:firstLine="709"/>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drawing>
          <wp:inline distT="0" distB="0" distL="0" distR="0">
            <wp:extent cx="1852930" cy="476885"/>
            <wp:effectExtent l="0" t="0" r="0" b="0"/>
            <wp:docPr id="68" name="Рисунок 68" descr="base_23792_85543_877"/>
            <wp:cNvGraphicFramePr/>
            <a:graphic xmlns:a="http://schemas.openxmlformats.org/drawingml/2006/main">
              <a:graphicData uri="http://schemas.openxmlformats.org/drawingml/2006/picture">
                <pic:pic xmlns:pic="http://schemas.openxmlformats.org/drawingml/2006/picture">
                  <pic:nvPicPr>
                    <pic:cNvPr id="68" name="Рисунок 68" descr="base_23792_85543_877"/>
                    <pic:cNvPicPr preferRelativeResize="0">
                      <a:picLocks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a:xfrm>
                      <a:off x="0" y="0"/>
                      <a:ext cx="1852930" cy="476885"/>
                    </a:xfrm>
                    <a:prstGeom prst="rect">
                      <a:avLst/>
                    </a:prstGeom>
                    <a:noFill/>
                    <a:ln>
                      <a:noFill/>
                    </a:ln>
                  </pic:spPr>
                </pic:pic>
              </a:graphicData>
            </a:graphic>
          </wp:inline>
        </w:drawing>
      </w:r>
    </w:p>
    <w:p w14:paraId="126A6E9B">
      <w:pPr>
        <w:widowControl w:val="0"/>
        <w:autoSpaceDE w:val="0"/>
        <w:autoSpaceDN w:val="0"/>
        <w:spacing w:after="0" w:line="36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position w:val="-14"/>
          <w:sz w:val="28"/>
          <w:szCs w:val="28"/>
          <w:lang w:eastAsia="ru-RU"/>
        </w:rPr>
        <w:drawing>
          <wp:inline distT="0" distB="0" distL="0" distR="0">
            <wp:extent cx="374015" cy="254635"/>
            <wp:effectExtent l="0" t="0" r="6985" b="0"/>
            <wp:docPr id="5" name="Рисунок 5" descr="base_23792_85543_878"/>
            <wp:cNvGraphicFramePr/>
            <a:graphic xmlns:a="http://schemas.openxmlformats.org/drawingml/2006/main">
              <a:graphicData uri="http://schemas.openxmlformats.org/drawingml/2006/picture">
                <pic:pic xmlns:pic="http://schemas.openxmlformats.org/drawingml/2006/picture">
                  <pic:nvPicPr>
                    <pic:cNvPr id="5" name="Рисунок 5" descr="base_23792_85543_878"/>
                    <pic:cNvPicPr preferRelativeResize="0">
                      <a:picLocks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a:xfrm>
                      <a:off x="0" y="0"/>
                      <a:ext cx="374015" cy="254635"/>
                    </a:xfrm>
                    <a:prstGeom prst="rect">
                      <a:avLst/>
                    </a:prstGeom>
                    <a:noFill/>
                    <a:ln>
                      <a:noFill/>
                    </a:ln>
                  </pic:spPr>
                </pic:pic>
              </a:graphicData>
            </a:graphic>
          </wp:inline>
        </w:drawing>
      </w:r>
      <w:r>
        <w:rPr>
          <w:rFonts w:ascii="Times New Roman" w:hAnsi="Times New Roman" w:eastAsia="Times New Roman" w:cs="Times New Roman"/>
          <w:sz w:val="28"/>
          <w:szCs w:val="28"/>
          <w:lang w:eastAsia="ru-RU"/>
        </w:rPr>
        <w:t xml:space="preserve"> – количество работников, направляемых на i-й вид дополнительного профессионального образования;</w:t>
      </w:r>
    </w:p>
    <w:p w14:paraId="1821DD32">
      <w:pPr>
        <w:widowControl w:val="0"/>
        <w:autoSpaceDE w:val="0"/>
        <w:autoSpaceDN w:val="0"/>
        <w:spacing w:after="0" w:line="36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position w:val="-14"/>
          <w:sz w:val="28"/>
          <w:szCs w:val="28"/>
          <w:lang w:eastAsia="ru-RU"/>
        </w:rPr>
        <w:drawing>
          <wp:inline distT="0" distB="0" distL="0" distR="0">
            <wp:extent cx="334010" cy="254635"/>
            <wp:effectExtent l="0" t="0" r="8890" b="0"/>
            <wp:docPr id="1" name="Рисунок 1" descr="base_23792_85543_879"/>
            <wp:cNvGraphicFramePr/>
            <a:graphic xmlns:a="http://schemas.openxmlformats.org/drawingml/2006/main">
              <a:graphicData uri="http://schemas.openxmlformats.org/drawingml/2006/picture">
                <pic:pic xmlns:pic="http://schemas.openxmlformats.org/drawingml/2006/picture">
                  <pic:nvPicPr>
                    <pic:cNvPr id="1" name="Рисунок 1" descr="base_23792_85543_879"/>
                    <pic:cNvPicPr preferRelativeResize="0">
                      <a:picLocks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a:xfrm>
                      <a:off x="0" y="0"/>
                      <a:ext cx="334010" cy="254635"/>
                    </a:xfrm>
                    <a:prstGeom prst="rect">
                      <a:avLst/>
                    </a:prstGeom>
                    <a:noFill/>
                    <a:ln>
                      <a:noFill/>
                    </a:ln>
                  </pic:spPr>
                </pic:pic>
              </a:graphicData>
            </a:graphic>
          </wp:inline>
        </w:drawing>
      </w:r>
      <w:r>
        <w:rPr>
          <w:rFonts w:ascii="Times New Roman" w:hAnsi="Times New Roman" w:eastAsia="Times New Roman" w:cs="Times New Roman"/>
          <w:sz w:val="28"/>
          <w:szCs w:val="28"/>
          <w:lang w:eastAsia="ru-RU"/>
        </w:rPr>
        <w:t xml:space="preserve"> – цена обучения одного работника по i-му виду дополнительного профессионального образования.</w:t>
      </w:r>
    </w:p>
    <w:p w14:paraId="662F7312">
      <w:pPr>
        <w:widowControl w:val="0"/>
        <w:autoSpaceDE w:val="0"/>
        <w:autoSpaceDN w:val="0"/>
        <w:spacing w:after="0" w:line="360" w:lineRule="auto"/>
        <w:ind w:firstLine="709"/>
        <w:jc w:val="both"/>
        <w:rPr>
          <w:rFonts w:ascii="Times New Roman" w:hAnsi="Times New Roman" w:cs="Times New Roman"/>
          <w:sz w:val="28"/>
          <w:szCs w:val="28"/>
        </w:rPr>
      </w:pPr>
      <w:r>
        <w:rPr>
          <w:rFonts w:ascii="Times New Roman" w:hAnsi="Times New Roman" w:eastAsia="Times New Roman" w:cs="Times New Roman"/>
          <w:sz w:val="28"/>
          <w:szCs w:val="28"/>
          <w:lang w:eastAsia="ru-RU"/>
        </w:rPr>
        <w:t>Расчет затрат производится в соответствии с нормативами согласно       таблице №34.</w:t>
      </w:r>
    </w:p>
    <w:p w14:paraId="455E645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№34</w:t>
      </w:r>
    </w:p>
    <w:p w14:paraId="513B24AF">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образовательных услуг по профессиональной переподготовке и повышению квалификации</w:t>
      </w:r>
    </w:p>
    <w:p w14:paraId="64FB1C52">
      <w:pPr>
        <w:widowControl w:val="0"/>
        <w:autoSpaceDE w:val="0"/>
        <w:autoSpaceDN w:val="0"/>
        <w:adjustRightInd w:val="0"/>
        <w:spacing w:after="0" w:line="240" w:lineRule="auto"/>
        <w:jc w:val="center"/>
        <w:rPr>
          <w:rFonts w:ascii="Times New Roman" w:hAnsi="Times New Roman" w:cs="Times New Roman"/>
          <w:sz w:val="28"/>
          <w:szCs w:val="28"/>
        </w:rPr>
      </w:pPr>
    </w:p>
    <w:tbl>
      <w:tblPr>
        <w:tblStyle w:val="3"/>
        <w:tblW w:w="966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5"/>
        <w:gridCol w:w="2806"/>
        <w:gridCol w:w="2297"/>
      </w:tblGrid>
      <w:tr w14:paraId="5B7E9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4565" w:type="dxa"/>
          </w:tcPr>
          <w:p w14:paraId="107A725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Вид дополнительного профессионального образования</w:t>
            </w:r>
          </w:p>
        </w:tc>
        <w:tc>
          <w:tcPr>
            <w:tcW w:w="2806" w:type="dxa"/>
            <w:vAlign w:val="center"/>
          </w:tcPr>
          <w:p w14:paraId="4480894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работников, направляемых на обучение/год</w:t>
            </w:r>
          </w:p>
        </w:tc>
        <w:tc>
          <w:tcPr>
            <w:tcW w:w="2297" w:type="dxa"/>
          </w:tcPr>
          <w:p w14:paraId="121F72A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обучения одного работника (рублей)</w:t>
            </w:r>
          </w:p>
        </w:tc>
      </w:tr>
      <w:tr w14:paraId="682ED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4565" w:type="dxa"/>
          </w:tcPr>
          <w:p w14:paraId="2B32A2AB">
            <w:pPr>
              <w:spacing w:after="0" w:line="240" w:lineRule="auto"/>
              <w:jc w:val="center"/>
              <w:rPr>
                <w:rFonts w:ascii="Times New Roman" w:hAnsi="Times New Roman" w:cs="Times New Roman"/>
                <w:sz w:val="28"/>
                <w:szCs w:val="28"/>
              </w:rPr>
            </w:pPr>
          </w:p>
        </w:tc>
        <w:tc>
          <w:tcPr>
            <w:tcW w:w="2806" w:type="dxa"/>
            <w:vAlign w:val="center"/>
          </w:tcPr>
          <w:p w14:paraId="50973FCE">
            <w:pPr>
              <w:spacing w:after="0" w:line="240" w:lineRule="auto"/>
              <w:jc w:val="center"/>
              <w:rPr>
                <w:rFonts w:ascii="Times New Roman" w:hAnsi="Times New Roman" w:cs="Times New Roman"/>
                <w:sz w:val="28"/>
                <w:szCs w:val="28"/>
              </w:rPr>
            </w:pPr>
          </w:p>
        </w:tc>
        <w:tc>
          <w:tcPr>
            <w:tcW w:w="2297" w:type="dxa"/>
          </w:tcPr>
          <w:p w14:paraId="557798D4">
            <w:pPr>
              <w:spacing w:after="0" w:line="240" w:lineRule="auto"/>
              <w:jc w:val="center"/>
              <w:rPr>
                <w:rFonts w:ascii="Times New Roman" w:hAnsi="Times New Roman" w:cs="Times New Roman"/>
                <w:sz w:val="28"/>
                <w:szCs w:val="28"/>
              </w:rPr>
            </w:pPr>
          </w:p>
        </w:tc>
      </w:tr>
      <w:tr w14:paraId="4D652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4565" w:type="dxa"/>
            <w:vAlign w:val="center"/>
          </w:tcPr>
          <w:p w14:paraId="23BE9BFC">
            <w:pPr>
              <w:spacing w:after="0" w:line="240" w:lineRule="auto"/>
              <w:rPr>
                <w:rFonts w:ascii="Times New Roman" w:hAnsi="Times New Roman" w:cs="Times New Roman"/>
                <w:sz w:val="28"/>
                <w:szCs w:val="28"/>
              </w:rPr>
            </w:pPr>
            <w:r>
              <w:rPr>
                <w:rFonts w:ascii="Times New Roman" w:hAnsi="Times New Roman" w:cs="Times New Roman"/>
                <w:sz w:val="28"/>
                <w:szCs w:val="28"/>
              </w:rPr>
              <w:t>Повышение квалификации работников, дополнительное профессиональное образование и дополнительное образование</w:t>
            </w:r>
          </w:p>
        </w:tc>
        <w:tc>
          <w:tcPr>
            <w:tcW w:w="2806" w:type="dxa"/>
            <w:vAlign w:val="center"/>
          </w:tcPr>
          <w:p w14:paraId="6272EABC">
            <w:pPr>
              <w:widowControl w:val="0"/>
              <w:autoSpaceDE w:val="0"/>
              <w:autoSpaceDN w:val="0"/>
              <w:adjustRightInd w:val="0"/>
              <w:spacing w:after="0" w:line="240" w:lineRule="auto"/>
              <w:jc w:val="center"/>
              <w:rPr>
                <w:rFonts w:ascii="Times New Roman" w:hAnsi="Times New Roman" w:cs="Times New Roman"/>
                <w:sz w:val="28"/>
                <w:szCs w:val="28"/>
              </w:rPr>
            </w:pPr>
          </w:p>
        </w:tc>
        <w:tc>
          <w:tcPr>
            <w:tcW w:w="2297" w:type="dxa"/>
            <w:vAlign w:val="center"/>
          </w:tcPr>
          <w:p w14:paraId="6DA4267B">
            <w:pPr>
              <w:widowControl w:val="0"/>
              <w:autoSpaceDE w:val="0"/>
              <w:autoSpaceDN w:val="0"/>
              <w:adjustRightInd w:val="0"/>
              <w:spacing w:after="0" w:line="240" w:lineRule="auto"/>
              <w:jc w:val="center"/>
              <w:rPr>
                <w:rFonts w:ascii="Times New Roman" w:hAnsi="Times New Roman" w:cs="Times New Roman"/>
                <w:sz w:val="28"/>
                <w:szCs w:val="28"/>
              </w:rPr>
            </w:pPr>
          </w:p>
        </w:tc>
      </w:tr>
      <w:tr w14:paraId="4338E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4565" w:type="dxa"/>
            <w:vAlign w:val="center"/>
          </w:tcPr>
          <w:p w14:paraId="1D9DBACB">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Министр, заместители министра</w:t>
            </w:r>
          </w:p>
        </w:tc>
        <w:tc>
          <w:tcPr>
            <w:tcW w:w="2806" w:type="dxa"/>
            <w:vAlign w:val="center"/>
          </w:tcPr>
          <w:p w14:paraId="4713C35B">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w:t>
            </w:r>
          </w:p>
        </w:tc>
        <w:tc>
          <w:tcPr>
            <w:tcW w:w="2297" w:type="dxa"/>
            <w:vAlign w:val="center"/>
          </w:tcPr>
          <w:p w14:paraId="5C3A4A15">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14:paraId="79F2D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4565" w:type="dxa"/>
            <w:vAlign w:val="center"/>
          </w:tcPr>
          <w:p w14:paraId="75CD25AD">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Начальники отделов</w:t>
            </w:r>
          </w:p>
        </w:tc>
        <w:tc>
          <w:tcPr>
            <w:tcW w:w="2806" w:type="dxa"/>
            <w:vAlign w:val="center"/>
          </w:tcPr>
          <w:p w14:paraId="5A2B4998">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w:t>
            </w:r>
          </w:p>
        </w:tc>
        <w:tc>
          <w:tcPr>
            <w:tcW w:w="2297" w:type="dxa"/>
            <w:vAlign w:val="center"/>
          </w:tcPr>
          <w:p w14:paraId="49B32DD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25 000,00</w:t>
            </w:r>
          </w:p>
        </w:tc>
      </w:tr>
      <w:tr w14:paraId="6BB1F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4565" w:type="dxa"/>
            <w:vAlign w:val="center"/>
          </w:tcPr>
          <w:p w14:paraId="0C22CE8B">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Сотрудники</w:t>
            </w:r>
          </w:p>
        </w:tc>
        <w:tc>
          <w:tcPr>
            <w:tcW w:w="2806" w:type="dxa"/>
            <w:vAlign w:val="center"/>
          </w:tcPr>
          <w:p w14:paraId="2E5A67B7">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w:t>
            </w:r>
          </w:p>
        </w:tc>
        <w:tc>
          <w:tcPr>
            <w:tcW w:w="2297" w:type="dxa"/>
            <w:vAlign w:val="center"/>
          </w:tcPr>
          <w:p w14:paraId="5D499A51">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15 000,00</w:t>
            </w:r>
          </w:p>
        </w:tc>
      </w:tr>
      <w:tr w14:paraId="26EDA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4565" w:type="dxa"/>
            <w:vAlign w:val="center"/>
          </w:tcPr>
          <w:p w14:paraId="5B78EE5D">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Руководитель, заместитель руководителя подведомственного казенного учреждения</w:t>
            </w:r>
          </w:p>
        </w:tc>
        <w:tc>
          <w:tcPr>
            <w:tcW w:w="2806" w:type="dxa"/>
            <w:vAlign w:val="center"/>
          </w:tcPr>
          <w:p w14:paraId="495D4DEF">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2</w:t>
            </w:r>
          </w:p>
        </w:tc>
        <w:tc>
          <w:tcPr>
            <w:tcW w:w="2297" w:type="dxa"/>
            <w:vAlign w:val="center"/>
          </w:tcPr>
          <w:p w14:paraId="1B83B619">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14:paraId="17ECA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4565" w:type="dxa"/>
            <w:vAlign w:val="center"/>
          </w:tcPr>
          <w:p w14:paraId="4DEFA851">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Сотрудники подведомственного казенного учреждения</w:t>
            </w:r>
          </w:p>
        </w:tc>
        <w:tc>
          <w:tcPr>
            <w:tcW w:w="2806" w:type="dxa"/>
            <w:vAlign w:val="center"/>
          </w:tcPr>
          <w:p w14:paraId="7E19087C">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w:t>
            </w:r>
          </w:p>
        </w:tc>
        <w:tc>
          <w:tcPr>
            <w:tcW w:w="2297" w:type="dxa"/>
            <w:vAlign w:val="center"/>
          </w:tcPr>
          <w:p w14:paraId="21676DD1">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2 000,00</w:t>
            </w:r>
          </w:p>
        </w:tc>
      </w:tr>
      <w:tr w14:paraId="4C0F5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4565" w:type="dxa"/>
            <w:vAlign w:val="center"/>
          </w:tcPr>
          <w:p w14:paraId="3C234D26">
            <w:pPr>
              <w:spacing w:after="0" w:line="240" w:lineRule="auto"/>
              <w:rPr>
                <w:rFonts w:ascii="Times New Roman" w:hAnsi="Times New Roman" w:cs="Times New Roman"/>
                <w:sz w:val="28"/>
                <w:szCs w:val="28"/>
              </w:rPr>
            </w:pPr>
            <w:r>
              <w:rPr>
                <w:rFonts w:ascii="Times New Roman" w:hAnsi="Times New Roman" w:cs="Times New Roman"/>
                <w:sz w:val="28"/>
                <w:szCs w:val="28"/>
              </w:rPr>
              <w:t>Семинары, курсы</w:t>
            </w:r>
          </w:p>
        </w:tc>
        <w:tc>
          <w:tcPr>
            <w:tcW w:w="2806" w:type="dxa"/>
            <w:vAlign w:val="center"/>
          </w:tcPr>
          <w:p w14:paraId="31537E47">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 мере необходимости, в связи с исполнением служебных/должностных обязанностей</w:t>
            </w:r>
          </w:p>
        </w:tc>
        <w:tc>
          <w:tcPr>
            <w:tcW w:w="2297" w:type="dxa"/>
            <w:vAlign w:val="center"/>
          </w:tcPr>
          <w:p w14:paraId="6B202A9B">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150 000,00 на учреждение</w:t>
            </w:r>
          </w:p>
        </w:tc>
      </w:tr>
      <w:tr w14:paraId="60963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4565" w:type="dxa"/>
            <w:vAlign w:val="center"/>
          </w:tcPr>
          <w:p w14:paraId="04181997">
            <w:pPr>
              <w:spacing w:after="0" w:line="240" w:lineRule="auto"/>
              <w:rPr>
                <w:rFonts w:ascii="Times New Roman" w:hAnsi="Times New Roman" w:cs="Times New Roman"/>
                <w:sz w:val="28"/>
                <w:szCs w:val="28"/>
              </w:rPr>
            </w:pPr>
            <w:r>
              <w:rPr>
                <w:rFonts w:ascii="Times New Roman" w:hAnsi="Times New Roman" w:cs="Times New Roman"/>
                <w:sz w:val="28"/>
                <w:szCs w:val="28"/>
              </w:rPr>
              <w:t>Участие в форумах, конференциях, деловых миссиях, круглых столах</w:t>
            </w:r>
          </w:p>
        </w:tc>
        <w:tc>
          <w:tcPr>
            <w:tcW w:w="2806" w:type="dxa"/>
            <w:vAlign w:val="center"/>
          </w:tcPr>
          <w:p w14:paraId="2B9A7A0B">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2297" w:type="dxa"/>
            <w:vAlign w:val="center"/>
          </w:tcPr>
          <w:p w14:paraId="6048B6B6">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25 000,00</w:t>
            </w:r>
          </w:p>
        </w:tc>
      </w:tr>
    </w:tbl>
    <w:p w14:paraId="6D011B60">
      <w:pPr>
        <w:autoSpaceDE w:val="0"/>
        <w:autoSpaceDN w:val="0"/>
        <w:adjustRightInd w:val="0"/>
        <w:spacing w:before="120" w:after="120"/>
        <w:ind w:firstLine="709"/>
        <w:jc w:val="both"/>
        <w:rPr>
          <w:rFonts w:ascii="Times New Roman" w:hAnsi="Times New Roman" w:cs="Times New Roman"/>
          <w:bCs/>
          <w:sz w:val="28"/>
          <w:szCs w:val="28"/>
        </w:rPr>
      </w:pPr>
      <w:r>
        <w:rPr>
          <w:rFonts w:ascii="Times New Roman" w:hAnsi="Times New Roman" w:eastAsia="Times New Roman" w:cs="Times New Roman"/>
          <w:sz w:val="28"/>
          <w:szCs w:val="28"/>
          <w:lang w:eastAsia="ru-RU"/>
        </w:rPr>
        <w:t xml:space="preserve">16. </w:t>
      </w:r>
      <w:r>
        <w:rPr>
          <w:rFonts w:ascii="Times New Roman" w:hAnsi="Times New Roman" w:cs="Times New Roman"/>
          <w:bCs/>
          <w:sz w:val="28"/>
          <w:szCs w:val="28"/>
        </w:rPr>
        <w:t>Затраты на оплату нотариальных услуг (З</w:t>
      </w:r>
      <w:r>
        <w:rPr>
          <w:rFonts w:ascii="Times New Roman" w:hAnsi="Times New Roman" w:cs="Times New Roman"/>
          <w:bCs/>
          <w:sz w:val="16"/>
          <w:szCs w:val="16"/>
        </w:rPr>
        <w:t>нот</w:t>
      </w:r>
      <w:r>
        <w:rPr>
          <w:rFonts w:ascii="Times New Roman" w:hAnsi="Times New Roman" w:cs="Times New Roman"/>
          <w:bCs/>
          <w:sz w:val="28"/>
          <w:szCs w:val="28"/>
        </w:rPr>
        <w:t>), определяются по формуле:</w:t>
      </w:r>
    </w:p>
    <w:p w14:paraId="108147B8">
      <w:pPr>
        <w:autoSpaceDE w:val="0"/>
        <w:autoSpaceDN w:val="0"/>
        <w:adjustRightInd w:val="0"/>
        <w:spacing w:before="120" w:after="120"/>
        <w:ind w:firstLine="709"/>
        <w:jc w:val="both"/>
        <w:rPr>
          <w:rFonts w:ascii="Times New Roman" w:hAnsi="Times New Roman" w:cs="Times New Roman"/>
          <w:bCs/>
          <w:sz w:val="28"/>
          <w:szCs w:val="28"/>
        </w:rPr>
      </w:pPr>
      <m:oMathPara>
        <m:oMath>
          <m:sSub>
            <m:sSubPr>
              <m:ctrlPr>
                <w:rPr>
                  <w:rFonts w:ascii="Cambria Math" w:hAnsi="Cambria Math" w:cs="Times New Roman"/>
                  <w:bCs/>
                  <w:i/>
                  <w:sz w:val="28"/>
                  <w:szCs w:val="28"/>
                </w:rPr>
              </m:ctrlPr>
            </m:sSubPr>
            <m:e>
              <m:r>
                <m:rPr/>
                <w:rPr>
                  <w:rFonts w:ascii="Cambria Math" w:hAnsi="Cambria Math" w:cs="Times New Roman"/>
                  <w:sz w:val="28"/>
                  <w:szCs w:val="28"/>
                </w:rPr>
                <m:t>З</m:t>
              </m:r>
              <m:ctrlPr>
                <w:rPr>
                  <w:rFonts w:ascii="Cambria Math" w:hAnsi="Cambria Math" w:cs="Times New Roman"/>
                  <w:bCs/>
                  <w:i/>
                  <w:sz w:val="28"/>
                  <w:szCs w:val="28"/>
                </w:rPr>
              </m:ctrlPr>
            </m:e>
            <m:sub>
              <m:r>
                <m:rPr/>
                <w:rPr>
                  <w:rFonts w:ascii="Cambria Math" w:hAnsi="Cambria Math" w:cs="Times New Roman"/>
                  <w:sz w:val="28"/>
                  <w:szCs w:val="28"/>
                </w:rPr>
                <m:t>нот</m:t>
              </m:r>
              <m:ctrlPr>
                <w:rPr>
                  <w:rFonts w:ascii="Cambria Math" w:hAnsi="Cambria Math" w:cs="Times New Roman"/>
                  <w:bCs/>
                  <w:i/>
                  <w:sz w:val="28"/>
                  <w:szCs w:val="28"/>
                </w:rPr>
              </m:ctrlPr>
            </m:sub>
          </m:sSub>
          <m:r>
            <m:rPr/>
            <w:rPr>
              <w:rFonts w:ascii="Cambria Math" w:hAnsi="Cambria Math" w:cs="Times New Roman"/>
              <w:sz w:val="28"/>
              <w:szCs w:val="28"/>
            </w:rPr>
            <m:t>=</m:t>
          </m:r>
          <m:nary>
            <m:naryPr>
              <m:chr m:val="∑"/>
              <m:limLoc m:val="undOvr"/>
              <m:ctrlPr>
                <w:rPr>
                  <w:rFonts w:ascii="Cambria Math" w:hAnsi="Cambria Math" w:cs="Times New Roman"/>
                  <w:bCs/>
                  <w:i/>
                  <w:sz w:val="28"/>
                  <w:szCs w:val="28"/>
                </w:rPr>
              </m:ctrlPr>
            </m:naryPr>
            <m:sub>
              <m:r>
                <m:rPr/>
                <w:rPr>
                  <w:rFonts w:ascii="Cambria Math" w:hAnsi="Cambria Math" w:cs="Times New Roman"/>
                  <w:sz w:val="28"/>
                  <w:szCs w:val="28"/>
                </w:rPr>
                <m:t>i=1</m:t>
              </m:r>
              <m:ctrlPr>
                <w:rPr>
                  <w:rFonts w:ascii="Cambria Math" w:hAnsi="Cambria Math" w:cs="Times New Roman"/>
                  <w:bCs/>
                  <w:i/>
                  <w:sz w:val="28"/>
                  <w:szCs w:val="28"/>
                </w:rPr>
              </m:ctrlPr>
            </m:sub>
            <m:sup>
              <m:r>
                <m:rPr/>
                <w:rPr>
                  <w:rFonts w:ascii="Cambria Math" w:hAnsi="Cambria Math" w:cs="Times New Roman"/>
                  <w:sz w:val="28"/>
                  <w:szCs w:val="28"/>
                  <w:lang w:val="en-US"/>
                </w:rPr>
                <m:t>n</m:t>
              </m:r>
              <m:ctrlPr>
                <w:rPr>
                  <w:rFonts w:ascii="Cambria Math" w:hAnsi="Cambria Math" w:cs="Times New Roman"/>
                  <w:bCs/>
                  <w:i/>
                  <w:sz w:val="28"/>
                  <w:szCs w:val="28"/>
                </w:rPr>
              </m:ctrlPr>
            </m:sup>
            <m:e>
              <m:sSub>
                <m:sSubPr>
                  <m:ctrlPr>
                    <w:rPr>
                      <w:rFonts w:ascii="Cambria Math" w:hAnsi="Cambria Math" w:cs="Times New Roman"/>
                      <w:bCs/>
                      <w:i/>
                      <w:sz w:val="28"/>
                      <w:szCs w:val="28"/>
                    </w:rPr>
                  </m:ctrlPr>
                </m:sSubPr>
                <m:e>
                  <m:r>
                    <m:rPr/>
                    <w:rPr>
                      <w:rFonts w:ascii="Cambria Math" w:hAnsi="Cambria Math" w:cs="Times New Roman"/>
                      <w:sz w:val="28"/>
                      <w:szCs w:val="28"/>
                    </w:rPr>
                    <m:t>Q</m:t>
                  </m:r>
                  <m:ctrlPr>
                    <w:rPr>
                      <w:rFonts w:ascii="Cambria Math" w:hAnsi="Cambria Math" w:cs="Times New Roman"/>
                      <w:bCs/>
                      <w:i/>
                      <w:sz w:val="28"/>
                      <w:szCs w:val="28"/>
                    </w:rPr>
                  </m:ctrlPr>
                </m:e>
                <m:sub>
                  <m:r>
                    <m:rPr/>
                    <w:rPr>
                      <w:rFonts w:ascii="Cambria Math" w:hAnsi="Cambria Math" w:cs="Times New Roman"/>
                      <w:sz w:val="28"/>
                      <w:szCs w:val="28"/>
                    </w:rPr>
                    <m:t>i нот</m:t>
                  </m:r>
                  <m:ctrlPr>
                    <w:rPr>
                      <w:rFonts w:ascii="Cambria Math" w:hAnsi="Cambria Math" w:cs="Times New Roman"/>
                      <w:bCs/>
                      <w:i/>
                      <w:sz w:val="28"/>
                      <w:szCs w:val="28"/>
                    </w:rPr>
                  </m:ctrlPr>
                </m:sub>
              </m:sSub>
              <m:r>
                <m:rPr/>
                <w:rPr>
                  <w:rFonts w:ascii="Cambria Math" w:hAnsi="Cambria Math" w:cs="Times New Roman"/>
                  <w:sz w:val="28"/>
                  <w:szCs w:val="28"/>
                </w:rPr>
                <m:t>×</m:t>
              </m:r>
              <m:sSub>
                <m:sSubPr>
                  <m:ctrlPr>
                    <w:rPr>
                      <w:rFonts w:ascii="Cambria Math" w:hAnsi="Cambria Math" w:cs="Times New Roman"/>
                      <w:bCs/>
                      <w:i/>
                      <w:sz w:val="28"/>
                      <w:szCs w:val="28"/>
                    </w:rPr>
                  </m:ctrlPr>
                </m:sSubPr>
                <m:e>
                  <m:r>
                    <m:rPr/>
                    <w:rPr>
                      <w:rFonts w:ascii="Cambria Math" w:hAnsi="Cambria Math" w:cs="Times New Roman"/>
                      <w:sz w:val="28"/>
                      <w:szCs w:val="28"/>
                    </w:rPr>
                    <m:t>Р</m:t>
                  </m:r>
                  <m:ctrlPr>
                    <w:rPr>
                      <w:rFonts w:ascii="Cambria Math" w:hAnsi="Cambria Math" w:cs="Times New Roman"/>
                      <w:bCs/>
                      <w:i/>
                      <w:sz w:val="28"/>
                      <w:szCs w:val="28"/>
                    </w:rPr>
                  </m:ctrlPr>
                </m:e>
                <m:sub>
                  <m:r>
                    <m:rPr/>
                    <w:rPr>
                      <w:rFonts w:ascii="Cambria Math" w:hAnsi="Cambria Math" w:cs="Times New Roman"/>
                      <w:sz w:val="28"/>
                      <w:szCs w:val="28"/>
                      <w:lang w:val="en-US"/>
                    </w:rPr>
                    <m:t>i</m:t>
                  </m:r>
                  <m:r>
                    <m:rPr/>
                    <w:rPr>
                      <w:rFonts w:ascii="Cambria Math" w:hAnsi="Cambria Math" w:cs="Times New Roman"/>
                      <w:sz w:val="28"/>
                      <w:szCs w:val="28"/>
                    </w:rPr>
                    <m:t xml:space="preserve"> нот</m:t>
                  </m:r>
                  <m:ctrlPr>
                    <w:rPr>
                      <w:rFonts w:ascii="Cambria Math" w:hAnsi="Cambria Math" w:cs="Times New Roman"/>
                      <w:bCs/>
                      <w:i/>
                      <w:sz w:val="28"/>
                      <w:szCs w:val="28"/>
                    </w:rPr>
                  </m:ctrlPr>
                </m:sub>
              </m:sSub>
              <m:r>
                <m:rPr/>
                <w:rPr>
                  <w:rFonts w:ascii="Cambria Math" w:hAnsi="Cambria Math" w:cs="Times New Roman"/>
                  <w:sz w:val="28"/>
                  <w:szCs w:val="28"/>
                </w:rPr>
                <m:t>, где</m:t>
              </m:r>
              <m:ctrlPr>
                <w:rPr>
                  <w:rFonts w:ascii="Cambria Math" w:hAnsi="Cambria Math" w:cs="Times New Roman"/>
                  <w:bCs/>
                  <w:i/>
                  <w:sz w:val="28"/>
                  <w:szCs w:val="28"/>
                </w:rPr>
              </m:ctrlPr>
            </m:e>
          </m:nary>
        </m:oMath>
      </m:oMathPara>
    </w:p>
    <w:p w14:paraId="0FBE83CF">
      <w:pPr>
        <w:autoSpaceDE w:val="0"/>
        <w:autoSpaceDN w:val="0"/>
        <w:adjustRightInd w:val="0"/>
        <w:ind w:firstLine="708"/>
        <w:rPr>
          <w:bCs/>
          <w:sz w:val="28"/>
          <w:szCs w:val="28"/>
        </w:rPr>
      </w:pPr>
      <w:r>
        <w:rPr>
          <w:rFonts w:ascii="Times New Roman" w:hAnsi="Times New Roman" w:cs="Times New Roman"/>
          <w:bCs/>
          <w:sz w:val="28"/>
          <w:szCs w:val="28"/>
          <w:lang w:val="en-US"/>
        </w:rPr>
        <w:t>Q</w:t>
      </w:r>
      <w:r>
        <w:rPr>
          <w:rFonts w:ascii="Times New Roman" w:hAnsi="Times New Roman" w:cs="Times New Roman"/>
          <w:bCs/>
          <w:sz w:val="28"/>
          <w:szCs w:val="28"/>
          <w:vertAlign w:val="subscript"/>
          <w:lang w:val="en-US"/>
        </w:rPr>
        <w:t>i</w:t>
      </w:r>
      <w:r>
        <w:rPr>
          <w:rFonts w:ascii="Times New Roman" w:hAnsi="Times New Roman" w:cs="Times New Roman"/>
          <w:bCs/>
          <w:sz w:val="28"/>
          <w:szCs w:val="28"/>
          <w:vertAlign w:val="subscript"/>
        </w:rPr>
        <w:t xml:space="preserve"> нот</w:t>
      </w:r>
      <w:r>
        <w:rPr>
          <w:bCs/>
          <w:sz w:val="24"/>
          <w:szCs w:val="24"/>
        </w:rPr>
        <w:t xml:space="preserve"> </w:t>
      </w:r>
      <w:r>
        <w:rPr>
          <w:bCs/>
          <w:sz w:val="28"/>
          <w:szCs w:val="28"/>
        </w:rPr>
        <w:t xml:space="preserve">– </w:t>
      </w:r>
      <w:r>
        <w:rPr>
          <w:rFonts w:ascii="Times New Roman" w:hAnsi="Times New Roman" w:cs="Times New Roman"/>
          <w:bCs/>
          <w:sz w:val="28"/>
          <w:szCs w:val="28"/>
        </w:rPr>
        <w:t>количество i-ых разовых нотариальных услуг;</w:t>
      </w:r>
    </w:p>
    <w:p w14:paraId="1AD361E3">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Р</w:t>
      </w:r>
      <w:r>
        <w:rPr>
          <w:rFonts w:ascii="Times New Roman" w:hAnsi="Times New Roman" w:cs="Times New Roman"/>
          <w:bCs/>
          <w:sz w:val="28"/>
          <w:szCs w:val="28"/>
          <w:vertAlign w:val="subscript"/>
          <w:lang w:val="en-US"/>
        </w:rPr>
        <w:t>i</w:t>
      </w:r>
      <w:r>
        <w:rPr>
          <w:rFonts w:ascii="Times New Roman" w:hAnsi="Times New Roman" w:cs="Times New Roman"/>
          <w:bCs/>
          <w:sz w:val="28"/>
          <w:szCs w:val="28"/>
          <w:vertAlign w:val="subscript"/>
        </w:rPr>
        <w:t xml:space="preserve"> нот</w:t>
      </w:r>
      <w:r>
        <w:rPr>
          <w:bCs/>
          <w:sz w:val="28"/>
          <w:szCs w:val="28"/>
        </w:rPr>
        <w:t xml:space="preserve"> – </w:t>
      </w:r>
      <w:r>
        <w:rPr>
          <w:rFonts w:ascii="Times New Roman" w:hAnsi="Times New Roman" w:cs="Times New Roman"/>
          <w:bCs/>
          <w:sz w:val="28"/>
          <w:szCs w:val="28"/>
        </w:rPr>
        <w:t xml:space="preserve">цена </w:t>
      </w:r>
      <w:r>
        <w:rPr>
          <w:rFonts w:ascii="Times New Roman" w:hAnsi="Times New Roman" w:cs="Times New Roman"/>
          <w:bCs/>
          <w:sz w:val="28"/>
          <w:szCs w:val="28"/>
          <w:lang w:val="en-US"/>
        </w:rPr>
        <w:t>i</w:t>
      </w:r>
      <w:r>
        <w:rPr>
          <w:rFonts w:ascii="Times New Roman" w:hAnsi="Times New Roman" w:cs="Times New Roman"/>
          <w:bCs/>
          <w:sz w:val="28"/>
          <w:szCs w:val="28"/>
        </w:rPr>
        <w:t>-ой разового предоставления услуги.</w:t>
      </w:r>
    </w:p>
    <w:p w14:paraId="75526387">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hAnsi="Times New Roman" w:eastAsia="Times New Roman" w:cs="Times New Roman"/>
          <w:sz w:val="28"/>
          <w:szCs w:val="28"/>
          <w:lang w:eastAsia="ru-RU"/>
        </w:rPr>
        <w:t>Расчет затрат производится в соответствии с нормативами согласно       таблице №35.</w:t>
      </w:r>
    </w:p>
    <w:p w14:paraId="3A5EF218">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№35</w:t>
      </w:r>
    </w:p>
    <w:p w14:paraId="677A5823">
      <w:pPr>
        <w:autoSpaceDE w:val="0"/>
        <w:autoSpaceDN w:val="0"/>
        <w:adjustRightInd w:val="0"/>
        <w:spacing w:line="360" w:lineRule="auto"/>
        <w:ind w:firstLine="709"/>
        <w:jc w:val="center"/>
        <w:rPr>
          <w:rFonts w:ascii="Times New Roman" w:hAnsi="Times New Roman" w:cs="Times New Roman"/>
          <w:bCs/>
          <w:sz w:val="28"/>
          <w:szCs w:val="28"/>
        </w:rPr>
      </w:pPr>
      <w:r>
        <w:rPr>
          <w:rFonts w:ascii="Times New Roman" w:hAnsi="Times New Roman" w:cs="Times New Roman"/>
          <w:bCs/>
          <w:sz w:val="28"/>
          <w:szCs w:val="28"/>
        </w:rPr>
        <w:t>Нормативы затрат на нотариальные услуги</w:t>
      </w:r>
    </w:p>
    <w:tbl>
      <w:tblPr>
        <w:tblStyle w:val="3"/>
        <w:tblW w:w="978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64"/>
        <w:gridCol w:w="6917"/>
      </w:tblGrid>
      <w:tr w14:paraId="2F274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2864" w:type="dxa"/>
          </w:tcPr>
          <w:p w14:paraId="5B94134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разовых нотариальных услуг</w:t>
            </w:r>
          </w:p>
        </w:tc>
        <w:tc>
          <w:tcPr>
            <w:tcW w:w="6917" w:type="dxa"/>
            <w:vAlign w:val="center"/>
          </w:tcPr>
          <w:p w14:paraId="5AB3649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Норматив цены за предоставление разовой услуги </w:t>
            </w:r>
          </w:p>
        </w:tc>
      </w:tr>
      <w:tr w14:paraId="33D9F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9781" w:type="dxa"/>
            <w:gridSpan w:val="2"/>
            <w:vAlign w:val="center"/>
          </w:tcPr>
          <w:p w14:paraId="3BA7EA73">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14:paraId="5E7CF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2864" w:type="dxa"/>
            <w:vAlign w:val="center"/>
          </w:tcPr>
          <w:p w14:paraId="10C5C5AD">
            <w:pPr>
              <w:spacing w:after="0" w:line="240" w:lineRule="auto"/>
              <w:rPr>
                <w:rFonts w:ascii="Times New Roman" w:hAnsi="Times New Roman" w:cs="Times New Roman"/>
                <w:sz w:val="28"/>
                <w:szCs w:val="28"/>
              </w:rPr>
            </w:pPr>
            <w:r>
              <w:rPr>
                <w:rFonts w:ascii="Times New Roman" w:hAnsi="Times New Roman" w:cs="Times New Roman"/>
                <w:sz w:val="28"/>
                <w:szCs w:val="28"/>
              </w:rPr>
              <w:t>Не более 10</w:t>
            </w:r>
          </w:p>
        </w:tc>
        <w:tc>
          <w:tcPr>
            <w:tcW w:w="6917" w:type="dxa"/>
            <w:vAlign w:val="center"/>
          </w:tcPr>
          <w:p w14:paraId="0E3D3DE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уровня тарифов, установленных Основами законодательства Российской Федерации о нотариате, Налоговым кодексом Российской Федерации</w:t>
            </w:r>
          </w:p>
        </w:tc>
      </w:tr>
      <w:tr w14:paraId="3CA73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9781" w:type="dxa"/>
            <w:gridSpan w:val="2"/>
            <w:vAlign w:val="center"/>
          </w:tcPr>
          <w:p w14:paraId="4D472019">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учреждение</w:t>
            </w:r>
          </w:p>
        </w:tc>
      </w:tr>
      <w:tr w14:paraId="34ED1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2864" w:type="dxa"/>
            <w:vAlign w:val="center"/>
          </w:tcPr>
          <w:p w14:paraId="34EB4960">
            <w:pPr>
              <w:spacing w:after="0" w:line="240" w:lineRule="auto"/>
              <w:rPr>
                <w:rFonts w:ascii="Times New Roman" w:hAnsi="Times New Roman" w:cs="Times New Roman"/>
                <w:sz w:val="28"/>
                <w:szCs w:val="28"/>
              </w:rPr>
            </w:pPr>
            <w:r>
              <w:rPr>
                <w:rFonts w:ascii="Times New Roman" w:hAnsi="Times New Roman" w:cs="Times New Roman"/>
                <w:sz w:val="28"/>
                <w:szCs w:val="28"/>
              </w:rPr>
              <w:t>Не более 7</w:t>
            </w:r>
          </w:p>
        </w:tc>
        <w:tc>
          <w:tcPr>
            <w:tcW w:w="6917" w:type="dxa"/>
            <w:vAlign w:val="center"/>
          </w:tcPr>
          <w:p w14:paraId="416AAFF5">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уровня тарифов, установленных Основами законодательства Российской Федерации о нотариате, Налоговым кодексом Российской Федерации.</w:t>
            </w:r>
          </w:p>
        </w:tc>
      </w:tr>
    </w:tbl>
    <w:p w14:paraId="7B6D0BAB">
      <w:pPr>
        <w:widowControl w:val="0"/>
        <w:autoSpaceDE w:val="0"/>
        <w:autoSpaceDN w:val="0"/>
        <w:spacing w:after="0" w:line="360" w:lineRule="auto"/>
        <w:ind w:firstLine="709"/>
        <w:jc w:val="both"/>
        <w:rPr>
          <w:rFonts w:ascii="Times New Roman" w:hAnsi="Times New Roman" w:eastAsia="Times New Roman" w:cs="Times New Roman"/>
          <w:sz w:val="28"/>
          <w:szCs w:val="28"/>
          <w:lang w:eastAsia="ru-RU"/>
        </w:rPr>
      </w:pPr>
    </w:p>
    <w:p w14:paraId="215757CE">
      <w:pPr>
        <w:widowControl w:val="0"/>
        <w:autoSpaceDE w:val="0"/>
        <w:autoSpaceDN w:val="0"/>
        <w:spacing w:after="0" w:line="36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17. Затраты на оплату услуг по модернизации официального сайта (З</w:t>
      </w:r>
      <w:r>
        <w:rPr>
          <w:rFonts w:ascii="Times New Roman" w:hAnsi="Times New Roman" w:eastAsia="Times New Roman" w:cs="Times New Roman"/>
          <w:sz w:val="28"/>
          <w:szCs w:val="28"/>
          <w:vertAlign w:val="subscript"/>
          <w:lang w:eastAsia="ru-RU"/>
        </w:rPr>
        <w:t>м</w:t>
      </w:r>
      <w:r>
        <w:rPr>
          <w:rFonts w:ascii="Times New Roman" w:hAnsi="Times New Roman" w:eastAsia="Times New Roman" w:cs="Times New Roman"/>
          <w:sz w:val="28"/>
          <w:szCs w:val="28"/>
          <w:lang w:eastAsia="ru-RU"/>
        </w:rPr>
        <w:t>) министерства определяются по формуле:</w:t>
      </w:r>
    </w:p>
    <w:p w14:paraId="3031E43E">
      <w:pPr>
        <w:widowControl w:val="0"/>
        <w:autoSpaceDE w:val="0"/>
        <w:autoSpaceDN w:val="0"/>
        <w:spacing w:after="0" w:line="360" w:lineRule="auto"/>
        <w:ind w:firstLine="709"/>
        <w:jc w:val="both"/>
        <w:rPr>
          <w:rFonts w:ascii="Times New Roman" w:hAnsi="Times New Roman" w:eastAsia="Times New Roman" w:cs="Times New Roman"/>
          <w:sz w:val="28"/>
          <w:szCs w:val="28"/>
          <w:lang w:eastAsia="ru-RU"/>
        </w:rPr>
      </w:pPr>
      <m:oMathPara>
        <m:oMath>
          <m:sSub>
            <m:sSubPr>
              <m:ctrlPr>
                <w:rPr>
                  <w:rFonts w:ascii="Cambria Math" w:hAnsi="Cambria Math" w:eastAsia="Times New Roman" w:cs="Times New Roman"/>
                  <w:i/>
                  <w:sz w:val="28"/>
                  <w:szCs w:val="28"/>
                  <w:lang w:eastAsia="ru-RU"/>
                </w:rPr>
              </m:ctrlPr>
            </m:sSubPr>
            <m:e>
              <m:r>
                <m:rPr/>
                <w:rPr>
                  <w:rFonts w:ascii="Cambria Math" w:hAnsi="Cambria Math" w:eastAsia="Times New Roman" w:cs="Times New Roman"/>
                  <w:sz w:val="28"/>
                  <w:szCs w:val="28"/>
                  <w:lang w:eastAsia="ru-RU"/>
                </w:rPr>
                <m:t>З</m:t>
              </m:r>
              <m:ctrlPr>
                <w:rPr>
                  <w:rFonts w:ascii="Cambria Math" w:hAnsi="Cambria Math" w:eastAsia="Times New Roman" w:cs="Times New Roman"/>
                  <w:i/>
                  <w:sz w:val="28"/>
                  <w:szCs w:val="28"/>
                  <w:lang w:eastAsia="ru-RU"/>
                </w:rPr>
              </m:ctrlPr>
            </m:e>
            <m:sub>
              <m:r>
                <m:rPr/>
                <w:rPr>
                  <w:rFonts w:ascii="Cambria Math" w:hAnsi="Cambria Math" w:eastAsia="Times New Roman" w:cs="Times New Roman"/>
                  <w:sz w:val="28"/>
                  <w:szCs w:val="28"/>
                  <w:lang w:eastAsia="ru-RU"/>
                </w:rPr>
                <m:t>м</m:t>
              </m:r>
              <m:ctrlPr>
                <w:rPr>
                  <w:rFonts w:ascii="Cambria Math" w:hAnsi="Cambria Math" w:eastAsia="Times New Roman" w:cs="Times New Roman"/>
                  <w:i/>
                  <w:sz w:val="28"/>
                  <w:szCs w:val="28"/>
                  <w:lang w:eastAsia="ru-RU"/>
                </w:rPr>
              </m:ctrlPr>
            </m:sub>
          </m:sSub>
          <m:r>
            <m:rPr/>
            <w:rPr>
              <w:rFonts w:ascii="Cambria Math" w:hAnsi="Cambria Math" w:eastAsia="Times New Roman" w:cs="Times New Roman"/>
              <w:sz w:val="28"/>
              <w:szCs w:val="28"/>
              <w:lang w:eastAsia="ru-RU"/>
            </w:rPr>
            <m:t>=</m:t>
          </m:r>
          <m:sSub>
            <m:sSubPr>
              <m:ctrlPr>
                <w:rPr>
                  <w:rFonts w:ascii="Cambria Math" w:hAnsi="Cambria Math" w:eastAsia="Times New Roman" w:cs="Times New Roman"/>
                  <w:i/>
                  <w:sz w:val="28"/>
                  <w:szCs w:val="28"/>
                  <w:lang w:eastAsia="ru-RU"/>
                </w:rPr>
              </m:ctrlPr>
            </m:sSubPr>
            <m:e>
              <m:r>
                <m:rPr/>
                <w:rPr>
                  <w:rFonts w:ascii="Cambria Math" w:hAnsi="Cambria Math" w:eastAsia="Times New Roman" w:cs="Times New Roman"/>
                  <w:sz w:val="28"/>
                  <w:szCs w:val="28"/>
                  <w:lang w:val="en-US" w:eastAsia="ru-RU"/>
                </w:rPr>
                <m:t>Q</m:t>
              </m:r>
              <m:ctrlPr>
                <w:rPr>
                  <w:rFonts w:ascii="Cambria Math" w:hAnsi="Cambria Math" w:eastAsia="Times New Roman" w:cs="Times New Roman"/>
                  <w:i/>
                  <w:sz w:val="28"/>
                  <w:szCs w:val="28"/>
                  <w:lang w:eastAsia="ru-RU"/>
                </w:rPr>
              </m:ctrlPr>
            </m:e>
            <m:sub>
              <m:r>
                <m:rPr/>
                <w:rPr>
                  <w:rFonts w:ascii="Cambria Math" w:hAnsi="Cambria Math" w:eastAsia="Times New Roman" w:cs="Times New Roman"/>
                  <w:sz w:val="28"/>
                  <w:szCs w:val="28"/>
                  <w:lang w:eastAsia="ru-RU"/>
                </w:rPr>
                <m:t>м</m:t>
              </m:r>
              <m:ctrlPr>
                <w:rPr>
                  <w:rFonts w:ascii="Cambria Math" w:hAnsi="Cambria Math" w:eastAsia="Times New Roman" w:cs="Times New Roman"/>
                  <w:i/>
                  <w:sz w:val="28"/>
                  <w:szCs w:val="28"/>
                  <w:lang w:eastAsia="ru-RU"/>
                </w:rPr>
              </m:ctrlPr>
            </m:sub>
          </m:sSub>
          <m:r>
            <m:rPr/>
            <w:rPr>
              <w:rFonts w:ascii="Cambria Math" w:hAnsi="Cambria Math" w:eastAsia="Times New Roman" w:cs="Times New Roman"/>
              <w:sz w:val="28"/>
              <w:szCs w:val="28"/>
              <w:lang w:eastAsia="ru-RU"/>
            </w:rPr>
            <m:t>×</m:t>
          </m:r>
          <m:sSub>
            <m:sSubPr>
              <m:ctrlPr>
                <w:rPr>
                  <w:rFonts w:ascii="Cambria Math" w:hAnsi="Cambria Math" w:eastAsia="Times New Roman" w:cs="Times New Roman"/>
                  <w:i/>
                  <w:sz w:val="28"/>
                  <w:szCs w:val="28"/>
                  <w:lang w:eastAsia="ru-RU"/>
                </w:rPr>
              </m:ctrlPr>
            </m:sSubPr>
            <m:e>
              <m:r>
                <m:rPr/>
                <w:rPr>
                  <w:rFonts w:ascii="Cambria Math" w:hAnsi="Cambria Math" w:eastAsia="Times New Roman" w:cs="Times New Roman"/>
                  <w:sz w:val="28"/>
                  <w:szCs w:val="28"/>
                  <w:lang w:eastAsia="ru-RU"/>
                </w:rPr>
                <m:t>Р</m:t>
              </m:r>
              <m:ctrlPr>
                <w:rPr>
                  <w:rFonts w:ascii="Cambria Math" w:hAnsi="Cambria Math" w:eastAsia="Times New Roman" w:cs="Times New Roman"/>
                  <w:i/>
                  <w:sz w:val="28"/>
                  <w:szCs w:val="28"/>
                  <w:lang w:eastAsia="ru-RU"/>
                </w:rPr>
              </m:ctrlPr>
            </m:e>
            <m:sub>
              <m:r>
                <m:rPr/>
                <w:rPr>
                  <w:rFonts w:ascii="Cambria Math" w:hAnsi="Cambria Math" w:eastAsia="Times New Roman" w:cs="Times New Roman"/>
                  <w:sz w:val="28"/>
                  <w:szCs w:val="28"/>
                  <w:lang w:eastAsia="ru-RU"/>
                </w:rPr>
                <m:t>м</m:t>
              </m:r>
              <m:ctrlPr>
                <w:rPr>
                  <w:rFonts w:ascii="Cambria Math" w:hAnsi="Cambria Math" w:eastAsia="Times New Roman" w:cs="Times New Roman"/>
                  <w:i/>
                  <w:sz w:val="28"/>
                  <w:szCs w:val="28"/>
                  <w:lang w:eastAsia="ru-RU"/>
                </w:rPr>
              </m:ctrlPr>
            </m:sub>
          </m:sSub>
          <m:r>
            <m:rPr/>
            <w:rPr>
              <w:rFonts w:ascii="Cambria Math" w:hAnsi="Cambria Math" w:eastAsia="Times New Roman" w:cs="Times New Roman"/>
              <w:sz w:val="28"/>
              <w:szCs w:val="28"/>
              <w:lang w:eastAsia="ru-RU"/>
            </w:rPr>
            <m:t>, где</m:t>
          </m:r>
        </m:oMath>
      </m:oMathPara>
    </w:p>
    <w:p w14:paraId="0D59FEED">
      <w:pPr>
        <w:widowControl w:val="0"/>
        <w:autoSpaceDE w:val="0"/>
        <w:autoSpaceDN w:val="0"/>
        <w:spacing w:after="0" w:line="360" w:lineRule="auto"/>
        <w:ind w:firstLine="709"/>
        <w:jc w:val="both"/>
        <w:rPr>
          <w:rFonts w:ascii="Times New Roman" w:hAnsi="Times New Roman" w:eastAsia="Times New Roman" w:cs="Times New Roman"/>
          <w:sz w:val="28"/>
          <w:szCs w:val="28"/>
          <w:lang w:eastAsia="ru-RU"/>
        </w:rPr>
      </w:pPr>
      <m:oMath>
        <m:sSub>
          <m:sSubPr>
            <m:ctrlPr>
              <w:rPr>
                <w:rFonts w:ascii="Cambria Math" w:hAnsi="Cambria Math" w:eastAsia="Times New Roman" w:cs="Times New Roman"/>
                <w:i/>
                <w:sz w:val="28"/>
                <w:szCs w:val="28"/>
                <w:lang w:eastAsia="ru-RU"/>
              </w:rPr>
            </m:ctrlPr>
          </m:sSubPr>
          <m:e>
            <m:r>
              <m:rPr/>
              <w:rPr>
                <w:rFonts w:ascii="Cambria Math" w:hAnsi="Cambria Math" w:eastAsia="Times New Roman" w:cs="Times New Roman"/>
                <w:sz w:val="28"/>
                <w:szCs w:val="28"/>
                <w:lang w:val="en-US" w:eastAsia="ru-RU"/>
              </w:rPr>
              <m:t>Q</m:t>
            </m:r>
            <m:ctrlPr>
              <w:rPr>
                <w:rFonts w:ascii="Cambria Math" w:hAnsi="Cambria Math" w:eastAsia="Times New Roman" w:cs="Times New Roman"/>
                <w:i/>
                <w:sz w:val="28"/>
                <w:szCs w:val="28"/>
                <w:lang w:eastAsia="ru-RU"/>
              </w:rPr>
            </m:ctrlPr>
          </m:e>
          <m:sub>
            <m:r>
              <m:rPr/>
              <w:rPr>
                <w:rFonts w:ascii="Cambria Math" w:hAnsi="Cambria Math" w:eastAsia="Times New Roman" w:cs="Times New Roman"/>
                <w:sz w:val="28"/>
                <w:szCs w:val="28"/>
                <w:lang w:eastAsia="ru-RU"/>
              </w:rPr>
              <m:t>м</m:t>
            </m:r>
            <m:ctrlPr>
              <w:rPr>
                <w:rFonts w:ascii="Cambria Math" w:hAnsi="Cambria Math" w:eastAsia="Times New Roman" w:cs="Times New Roman"/>
                <w:i/>
                <w:sz w:val="28"/>
                <w:szCs w:val="28"/>
                <w:lang w:eastAsia="ru-RU"/>
              </w:rPr>
            </m:ctrlPr>
          </m:sub>
        </m:sSub>
      </m:oMath>
      <w:r>
        <w:rPr>
          <w:rFonts w:ascii="Times New Roman" w:hAnsi="Times New Roman" w:eastAsia="Times New Roman" w:cs="Times New Roman"/>
          <w:sz w:val="28"/>
          <w:szCs w:val="28"/>
          <w:lang w:eastAsia="ru-RU"/>
        </w:rPr>
        <w:t xml:space="preserve"> – количество услуг по модернизации официального сайта министерства в год,</w:t>
      </w:r>
    </w:p>
    <w:p w14:paraId="12751CBB">
      <w:pPr>
        <w:widowControl w:val="0"/>
        <w:autoSpaceDE w:val="0"/>
        <w:autoSpaceDN w:val="0"/>
        <w:spacing w:after="0" w:line="360" w:lineRule="auto"/>
        <w:ind w:firstLine="709"/>
        <w:jc w:val="both"/>
        <w:rPr>
          <w:rFonts w:ascii="Times New Roman" w:hAnsi="Times New Roman" w:eastAsia="Times New Roman" w:cs="Times New Roman"/>
          <w:sz w:val="28"/>
          <w:szCs w:val="28"/>
          <w:lang w:eastAsia="ru-RU"/>
        </w:rPr>
      </w:pPr>
      <m:oMath>
        <m:sSub>
          <m:sSubPr>
            <m:ctrlPr>
              <w:rPr>
                <w:rFonts w:ascii="Cambria Math" w:hAnsi="Cambria Math" w:eastAsia="Times New Roman" w:cs="Times New Roman"/>
                <w:i/>
                <w:sz w:val="28"/>
                <w:szCs w:val="28"/>
                <w:lang w:eastAsia="ru-RU"/>
              </w:rPr>
            </m:ctrlPr>
          </m:sSubPr>
          <m:e>
            <m:r>
              <m:rPr/>
              <w:rPr>
                <w:rFonts w:ascii="Cambria Math" w:hAnsi="Cambria Math" w:eastAsia="Times New Roman" w:cs="Times New Roman"/>
                <w:sz w:val="28"/>
                <w:szCs w:val="28"/>
                <w:lang w:eastAsia="ru-RU"/>
              </w:rPr>
              <m:t>Р</m:t>
            </m:r>
            <m:ctrlPr>
              <w:rPr>
                <w:rFonts w:ascii="Cambria Math" w:hAnsi="Cambria Math" w:eastAsia="Times New Roman" w:cs="Times New Roman"/>
                <w:i/>
                <w:sz w:val="28"/>
                <w:szCs w:val="28"/>
                <w:lang w:eastAsia="ru-RU"/>
              </w:rPr>
            </m:ctrlPr>
          </m:e>
          <m:sub>
            <m:r>
              <m:rPr/>
              <w:rPr>
                <w:rFonts w:ascii="Cambria Math" w:hAnsi="Cambria Math" w:eastAsia="Times New Roman" w:cs="Times New Roman"/>
                <w:sz w:val="28"/>
                <w:szCs w:val="28"/>
                <w:lang w:eastAsia="ru-RU"/>
              </w:rPr>
              <m:t>м</m:t>
            </m:r>
            <m:ctrlPr>
              <w:rPr>
                <w:rFonts w:ascii="Cambria Math" w:hAnsi="Cambria Math" w:eastAsia="Times New Roman" w:cs="Times New Roman"/>
                <w:i/>
                <w:sz w:val="28"/>
                <w:szCs w:val="28"/>
                <w:lang w:eastAsia="ru-RU"/>
              </w:rPr>
            </m:ctrlPr>
          </m:sub>
        </m:sSub>
      </m:oMath>
      <w:r>
        <w:rPr>
          <w:rFonts w:ascii="Times New Roman" w:hAnsi="Times New Roman" w:eastAsia="Times New Roman" w:cs="Times New Roman"/>
          <w:sz w:val="28"/>
          <w:szCs w:val="28"/>
          <w:lang w:eastAsia="ru-RU"/>
        </w:rPr>
        <w:t xml:space="preserve"> – цена предоставления услуги по модернизации официального сайта министерства.</w:t>
      </w:r>
    </w:p>
    <w:p w14:paraId="224251AB">
      <w:pPr>
        <w:autoSpaceDE w:val="0"/>
        <w:autoSpaceDN w:val="0"/>
        <w:adjustRightInd w:val="0"/>
        <w:spacing w:line="360" w:lineRule="auto"/>
        <w:ind w:firstLine="709"/>
        <w:jc w:val="both"/>
        <w:rPr>
          <w:rFonts w:ascii="Times New Roman" w:hAnsi="Times New Roman" w:cs="Times New Roman"/>
          <w:sz w:val="28"/>
          <w:szCs w:val="28"/>
        </w:rPr>
      </w:pPr>
      <w:r>
        <w:rPr>
          <w:rFonts w:ascii="Times New Roman" w:hAnsi="Times New Roman" w:eastAsia="Times New Roman" w:cs="Times New Roman"/>
          <w:sz w:val="28"/>
          <w:szCs w:val="28"/>
          <w:lang w:eastAsia="ru-RU"/>
        </w:rPr>
        <w:t>Расчет затрат производится в соответствии с нормативами согласно       таблице №36.</w:t>
      </w:r>
    </w:p>
    <w:p w14:paraId="6209CE88">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№36</w:t>
      </w:r>
    </w:p>
    <w:p w14:paraId="3BD0210E">
      <w:pPr>
        <w:autoSpaceDE w:val="0"/>
        <w:autoSpaceDN w:val="0"/>
        <w:adjustRightInd w:val="0"/>
        <w:spacing w:after="120" w:line="360" w:lineRule="auto"/>
        <w:ind w:firstLine="709"/>
        <w:jc w:val="center"/>
        <w:rPr>
          <w:rFonts w:ascii="Times New Roman" w:hAnsi="Times New Roman" w:eastAsia="Times New Roman" w:cs="Times New Roman"/>
          <w:sz w:val="28"/>
          <w:szCs w:val="28"/>
          <w:lang w:eastAsia="ru-RU"/>
        </w:rPr>
      </w:pPr>
      <w:r>
        <w:rPr>
          <w:rFonts w:ascii="Times New Roman" w:hAnsi="Times New Roman" w:cs="Times New Roman"/>
          <w:bCs/>
          <w:sz w:val="28"/>
          <w:szCs w:val="28"/>
        </w:rPr>
        <w:t>Нормативы затрат на модернизацию официального сайта</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70"/>
        <w:gridCol w:w="4871"/>
      </w:tblGrid>
      <w:tr w14:paraId="61A1F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0" w:type="dxa"/>
          </w:tcPr>
          <w:p w14:paraId="16233FA3">
            <w:pPr>
              <w:widowControl w:val="0"/>
              <w:autoSpaceDE w:val="0"/>
              <w:autoSpaceDN w:val="0"/>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Количество услуг по модернизации официального сайта министерства в год</w:t>
            </w:r>
          </w:p>
        </w:tc>
        <w:tc>
          <w:tcPr>
            <w:tcW w:w="4871" w:type="dxa"/>
          </w:tcPr>
          <w:p w14:paraId="614CFD65">
            <w:pPr>
              <w:widowControl w:val="0"/>
              <w:autoSpaceDE w:val="0"/>
              <w:autoSpaceDN w:val="0"/>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Цена предоставления услуги по модернизации официального сайта министерства, руб.</w:t>
            </w:r>
          </w:p>
        </w:tc>
      </w:tr>
      <w:tr w14:paraId="4689D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0" w:type="dxa"/>
          </w:tcPr>
          <w:p w14:paraId="1DFA6108">
            <w:pPr>
              <w:widowControl w:val="0"/>
              <w:autoSpaceDE w:val="0"/>
              <w:autoSpaceDN w:val="0"/>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не более 1</w:t>
            </w:r>
          </w:p>
        </w:tc>
        <w:tc>
          <w:tcPr>
            <w:tcW w:w="4871" w:type="dxa"/>
          </w:tcPr>
          <w:p w14:paraId="29694507">
            <w:pPr>
              <w:widowControl w:val="0"/>
              <w:autoSpaceDE w:val="0"/>
              <w:autoSpaceDN w:val="0"/>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не более 100 000,00</w:t>
            </w:r>
          </w:p>
        </w:tc>
      </w:tr>
    </w:tbl>
    <w:p w14:paraId="0C5ED35F">
      <w:pPr>
        <w:widowControl w:val="0"/>
        <w:autoSpaceDE w:val="0"/>
        <w:autoSpaceDN w:val="0"/>
        <w:spacing w:after="0" w:line="360" w:lineRule="auto"/>
        <w:ind w:firstLine="709"/>
        <w:jc w:val="both"/>
        <w:rPr>
          <w:rFonts w:ascii="Times New Roman" w:hAnsi="Times New Roman" w:eastAsia="Times New Roman" w:cs="Times New Roman"/>
          <w:sz w:val="28"/>
          <w:szCs w:val="28"/>
          <w:lang w:eastAsia="ru-RU"/>
        </w:rPr>
      </w:pPr>
    </w:p>
    <w:p w14:paraId="6D56A8A0">
      <w:pPr>
        <w:widowControl w:val="0"/>
        <w:autoSpaceDE w:val="0"/>
        <w:autoSpaceDN w:val="0"/>
        <w:spacing w:after="0" w:line="36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18. Затраты на оплату услуг по научно-технической обработке документов постоянного хранения (З</w:t>
      </w:r>
      <w:r>
        <w:rPr>
          <w:rFonts w:ascii="Times New Roman" w:hAnsi="Times New Roman" w:eastAsia="Times New Roman" w:cs="Times New Roman"/>
          <w:sz w:val="28"/>
          <w:szCs w:val="28"/>
          <w:vertAlign w:val="subscript"/>
          <w:lang w:eastAsia="ru-RU"/>
        </w:rPr>
        <w:t>арх</w:t>
      </w:r>
      <w:r>
        <w:rPr>
          <w:rFonts w:ascii="Times New Roman" w:hAnsi="Times New Roman" w:eastAsia="Times New Roman" w:cs="Times New Roman"/>
          <w:sz w:val="28"/>
          <w:szCs w:val="28"/>
          <w:lang w:eastAsia="ru-RU"/>
        </w:rPr>
        <w:t>) определяются по формуле:</w:t>
      </w:r>
    </w:p>
    <w:p w14:paraId="23DF8D73">
      <w:pPr>
        <w:widowControl w:val="0"/>
        <w:autoSpaceDE w:val="0"/>
        <w:autoSpaceDN w:val="0"/>
        <w:spacing w:after="0" w:line="360" w:lineRule="auto"/>
        <w:ind w:firstLine="709"/>
        <w:jc w:val="both"/>
        <w:rPr>
          <w:rFonts w:ascii="Times New Roman" w:hAnsi="Times New Roman" w:eastAsia="Times New Roman" w:cs="Times New Roman"/>
          <w:sz w:val="28"/>
          <w:szCs w:val="28"/>
          <w:lang w:eastAsia="ru-RU"/>
        </w:rPr>
      </w:pPr>
      <m:oMathPara>
        <m:oMath>
          <m:sSub>
            <m:sSubPr>
              <m:ctrlPr>
                <w:rPr>
                  <w:rFonts w:ascii="Cambria Math" w:hAnsi="Cambria Math" w:eastAsia="Times New Roman" w:cs="Times New Roman"/>
                  <w:i/>
                  <w:sz w:val="28"/>
                  <w:szCs w:val="28"/>
                  <w:lang w:eastAsia="ru-RU"/>
                </w:rPr>
              </m:ctrlPr>
            </m:sSubPr>
            <m:e>
              <m:r>
                <m:rPr/>
                <w:rPr>
                  <w:rFonts w:ascii="Cambria Math" w:hAnsi="Cambria Math" w:eastAsia="Times New Roman" w:cs="Times New Roman"/>
                  <w:sz w:val="28"/>
                  <w:szCs w:val="28"/>
                  <w:lang w:eastAsia="ru-RU"/>
                </w:rPr>
                <m:t>З</m:t>
              </m:r>
              <m:ctrlPr>
                <w:rPr>
                  <w:rFonts w:ascii="Cambria Math" w:hAnsi="Cambria Math" w:eastAsia="Times New Roman" w:cs="Times New Roman"/>
                  <w:i/>
                  <w:sz w:val="28"/>
                  <w:szCs w:val="28"/>
                  <w:lang w:eastAsia="ru-RU"/>
                </w:rPr>
              </m:ctrlPr>
            </m:e>
            <m:sub>
              <m:r>
                <m:rPr/>
                <w:rPr>
                  <w:rFonts w:ascii="Cambria Math" w:hAnsi="Cambria Math" w:eastAsia="Times New Roman" w:cs="Times New Roman"/>
                  <w:sz w:val="28"/>
                  <w:szCs w:val="28"/>
                  <w:lang w:eastAsia="ru-RU"/>
                </w:rPr>
                <m:t>арх</m:t>
              </m:r>
              <m:ctrlPr>
                <w:rPr>
                  <w:rFonts w:ascii="Cambria Math" w:hAnsi="Cambria Math" w:eastAsia="Times New Roman" w:cs="Times New Roman"/>
                  <w:i/>
                  <w:sz w:val="28"/>
                  <w:szCs w:val="28"/>
                  <w:lang w:eastAsia="ru-RU"/>
                </w:rPr>
              </m:ctrlPr>
            </m:sub>
          </m:sSub>
          <m:r>
            <m:rPr/>
            <w:rPr>
              <w:rFonts w:ascii="Cambria Math" w:hAnsi="Cambria Math" w:eastAsia="Times New Roman" w:cs="Times New Roman"/>
              <w:sz w:val="28"/>
              <w:szCs w:val="28"/>
              <w:lang w:eastAsia="ru-RU"/>
            </w:rPr>
            <m:t>=</m:t>
          </m:r>
          <m:sSub>
            <m:sSubPr>
              <m:ctrlPr>
                <w:rPr>
                  <w:rFonts w:ascii="Cambria Math" w:hAnsi="Cambria Math" w:eastAsia="Times New Roman" w:cs="Times New Roman"/>
                  <w:i/>
                  <w:sz w:val="28"/>
                  <w:szCs w:val="28"/>
                  <w:lang w:eastAsia="ru-RU"/>
                </w:rPr>
              </m:ctrlPr>
            </m:sSubPr>
            <m:e>
              <m:r>
                <m:rPr/>
                <w:rPr>
                  <w:rFonts w:ascii="Cambria Math" w:hAnsi="Cambria Math" w:eastAsia="Times New Roman" w:cs="Times New Roman"/>
                  <w:sz w:val="28"/>
                  <w:szCs w:val="28"/>
                  <w:lang w:val="en-US" w:eastAsia="ru-RU"/>
                </w:rPr>
                <m:t>Q</m:t>
              </m:r>
              <m:ctrlPr>
                <w:rPr>
                  <w:rFonts w:ascii="Cambria Math" w:hAnsi="Cambria Math" w:eastAsia="Times New Roman" w:cs="Times New Roman"/>
                  <w:i/>
                  <w:sz w:val="28"/>
                  <w:szCs w:val="28"/>
                  <w:lang w:eastAsia="ru-RU"/>
                </w:rPr>
              </m:ctrlPr>
            </m:e>
            <m:sub>
              <m:r>
                <m:rPr/>
                <w:rPr>
                  <w:rFonts w:ascii="Cambria Math" w:hAnsi="Cambria Math" w:eastAsia="Times New Roman" w:cs="Times New Roman"/>
                  <w:sz w:val="28"/>
                  <w:szCs w:val="28"/>
                  <w:lang w:eastAsia="ru-RU"/>
                </w:rPr>
                <m:t>арх</m:t>
              </m:r>
              <m:ctrlPr>
                <w:rPr>
                  <w:rFonts w:ascii="Cambria Math" w:hAnsi="Cambria Math" w:eastAsia="Times New Roman" w:cs="Times New Roman"/>
                  <w:i/>
                  <w:sz w:val="28"/>
                  <w:szCs w:val="28"/>
                  <w:lang w:eastAsia="ru-RU"/>
                </w:rPr>
              </m:ctrlPr>
            </m:sub>
          </m:sSub>
          <m:r>
            <m:rPr/>
            <w:rPr>
              <w:rFonts w:ascii="Cambria Math" w:hAnsi="Cambria Math" w:eastAsia="Times New Roman" w:cs="Times New Roman"/>
              <w:sz w:val="28"/>
              <w:szCs w:val="28"/>
              <w:lang w:eastAsia="ru-RU"/>
            </w:rPr>
            <m:t>×</m:t>
          </m:r>
          <m:sSub>
            <m:sSubPr>
              <m:ctrlPr>
                <w:rPr>
                  <w:rFonts w:ascii="Cambria Math" w:hAnsi="Cambria Math" w:eastAsia="Times New Roman" w:cs="Times New Roman"/>
                  <w:i/>
                  <w:sz w:val="28"/>
                  <w:szCs w:val="28"/>
                  <w:lang w:eastAsia="ru-RU"/>
                </w:rPr>
              </m:ctrlPr>
            </m:sSubPr>
            <m:e>
              <m:r>
                <m:rPr/>
                <w:rPr>
                  <w:rFonts w:ascii="Cambria Math" w:hAnsi="Cambria Math" w:eastAsia="Times New Roman" w:cs="Times New Roman"/>
                  <w:sz w:val="28"/>
                  <w:szCs w:val="28"/>
                  <w:lang w:eastAsia="ru-RU"/>
                </w:rPr>
                <m:t>Р</m:t>
              </m:r>
              <m:ctrlPr>
                <w:rPr>
                  <w:rFonts w:ascii="Cambria Math" w:hAnsi="Cambria Math" w:eastAsia="Times New Roman" w:cs="Times New Roman"/>
                  <w:i/>
                  <w:sz w:val="28"/>
                  <w:szCs w:val="28"/>
                  <w:lang w:eastAsia="ru-RU"/>
                </w:rPr>
              </m:ctrlPr>
            </m:e>
            <m:sub>
              <m:r>
                <m:rPr/>
                <w:rPr>
                  <w:rFonts w:ascii="Cambria Math" w:hAnsi="Cambria Math" w:eastAsia="Times New Roman" w:cs="Times New Roman"/>
                  <w:sz w:val="28"/>
                  <w:szCs w:val="28"/>
                  <w:lang w:eastAsia="ru-RU"/>
                </w:rPr>
                <m:t>арх</m:t>
              </m:r>
              <m:ctrlPr>
                <w:rPr>
                  <w:rFonts w:ascii="Cambria Math" w:hAnsi="Cambria Math" w:eastAsia="Times New Roman" w:cs="Times New Roman"/>
                  <w:i/>
                  <w:sz w:val="28"/>
                  <w:szCs w:val="28"/>
                  <w:lang w:eastAsia="ru-RU"/>
                </w:rPr>
              </m:ctrlPr>
            </m:sub>
          </m:sSub>
          <m:r>
            <m:rPr/>
            <w:rPr>
              <w:rFonts w:ascii="Cambria Math" w:hAnsi="Cambria Math" w:eastAsia="Times New Roman" w:cs="Times New Roman"/>
              <w:sz w:val="28"/>
              <w:szCs w:val="28"/>
              <w:lang w:eastAsia="ru-RU"/>
            </w:rPr>
            <m:t>, где</m:t>
          </m:r>
        </m:oMath>
      </m:oMathPara>
    </w:p>
    <w:p w14:paraId="7205F61B">
      <w:pPr>
        <w:widowControl w:val="0"/>
        <w:autoSpaceDE w:val="0"/>
        <w:autoSpaceDN w:val="0"/>
        <w:spacing w:after="0" w:line="360" w:lineRule="auto"/>
        <w:ind w:firstLine="709"/>
        <w:jc w:val="both"/>
        <w:rPr>
          <w:rFonts w:ascii="Times New Roman" w:hAnsi="Times New Roman" w:eastAsia="Times New Roman" w:cs="Times New Roman"/>
          <w:sz w:val="28"/>
          <w:szCs w:val="28"/>
          <w:lang w:eastAsia="ru-RU"/>
        </w:rPr>
      </w:pPr>
      <m:oMath>
        <m:sSub>
          <m:sSubPr>
            <m:ctrlPr>
              <w:rPr>
                <w:rFonts w:ascii="Cambria Math" w:hAnsi="Cambria Math" w:eastAsia="Times New Roman" w:cs="Times New Roman"/>
                <w:i/>
                <w:sz w:val="28"/>
                <w:szCs w:val="28"/>
                <w:lang w:eastAsia="ru-RU"/>
              </w:rPr>
            </m:ctrlPr>
          </m:sSubPr>
          <m:e>
            <m:r>
              <m:rPr/>
              <w:rPr>
                <w:rFonts w:ascii="Cambria Math" w:hAnsi="Cambria Math" w:eastAsia="Times New Roman" w:cs="Times New Roman"/>
                <w:sz w:val="28"/>
                <w:szCs w:val="28"/>
                <w:lang w:val="en-US" w:eastAsia="ru-RU"/>
              </w:rPr>
              <m:t>Q</m:t>
            </m:r>
            <m:ctrlPr>
              <w:rPr>
                <w:rFonts w:ascii="Cambria Math" w:hAnsi="Cambria Math" w:eastAsia="Times New Roman" w:cs="Times New Roman"/>
                <w:i/>
                <w:sz w:val="28"/>
                <w:szCs w:val="28"/>
                <w:lang w:eastAsia="ru-RU"/>
              </w:rPr>
            </m:ctrlPr>
          </m:e>
          <m:sub>
            <m:r>
              <m:rPr/>
              <w:rPr>
                <w:rFonts w:ascii="Cambria Math" w:hAnsi="Cambria Math" w:eastAsia="Times New Roman" w:cs="Times New Roman"/>
                <w:sz w:val="28"/>
                <w:szCs w:val="28"/>
                <w:lang w:eastAsia="ru-RU"/>
              </w:rPr>
              <m:t>арх</m:t>
            </m:r>
            <m:ctrlPr>
              <w:rPr>
                <w:rFonts w:ascii="Cambria Math" w:hAnsi="Cambria Math" w:eastAsia="Times New Roman" w:cs="Times New Roman"/>
                <w:i/>
                <w:sz w:val="28"/>
                <w:szCs w:val="28"/>
                <w:lang w:eastAsia="ru-RU"/>
              </w:rPr>
            </m:ctrlPr>
          </m:sub>
        </m:sSub>
      </m:oMath>
      <w:r>
        <w:rPr>
          <w:rFonts w:ascii="Times New Roman" w:hAnsi="Times New Roman" w:eastAsia="Times New Roman" w:cs="Times New Roman"/>
          <w:sz w:val="28"/>
          <w:szCs w:val="28"/>
          <w:lang w:eastAsia="ru-RU"/>
        </w:rPr>
        <w:t xml:space="preserve"> – количество услуг по архивной обработке документов,</w:t>
      </w:r>
    </w:p>
    <w:p w14:paraId="69BF5CF9">
      <w:pPr>
        <w:widowControl w:val="0"/>
        <w:autoSpaceDE w:val="0"/>
        <w:autoSpaceDN w:val="0"/>
        <w:spacing w:after="0" w:line="360" w:lineRule="auto"/>
        <w:ind w:firstLine="709"/>
        <w:jc w:val="both"/>
        <w:rPr>
          <w:rFonts w:ascii="Times New Roman" w:hAnsi="Times New Roman" w:eastAsia="Times New Roman" w:cs="Times New Roman"/>
          <w:sz w:val="28"/>
          <w:szCs w:val="28"/>
          <w:lang w:eastAsia="ru-RU"/>
        </w:rPr>
      </w:pPr>
      <m:oMath>
        <m:sSub>
          <m:sSubPr>
            <m:ctrlPr>
              <w:rPr>
                <w:rFonts w:ascii="Cambria Math" w:hAnsi="Cambria Math" w:eastAsia="Times New Roman" w:cs="Times New Roman"/>
                <w:i/>
                <w:sz w:val="28"/>
                <w:szCs w:val="28"/>
                <w:lang w:eastAsia="ru-RU"/>
              </w:rPr>
            </m:ctrlPr>
          </m:sSubPr>
          <m:e>
            <m:r>
              <m:rPr/>
              <w:rPr>
                <w:rFonts w:ascii="Cambria Math" w:hAnsi="Cambria Math" w:eastAsia="Times New Roman" w:cs="Times New Roman"/>
                <w:sz w:val="28"/>
                <w:szCs w:val="28"/>
                <w:lang w:eastAsia="ru-RU"/>
              </w:rPr>
              <m:t>Р</m:t>
            </m:r>
            <m:ctrlPr>
              <w:rPr>
                <w:rFonts w:ascii="Cambria Math" w:hAnsi="Cambria Math" w:eastAsia="Times New Roman" w:cs="Times New Roman"/>
                <w:i/>
                <w:sz w:val="28"/>
                <w:szCs w:val="28"/>
                <w:lang w:eastAsia="ru-RU"/>
              </w:rPr>
            </m:ctrlPr>
          </m:e>
          <m:sub>
            <m:r>
              <m:rPr/>
              <w:rPr>
                <w:rFonts w:ascii="Cambria Math" w:hAnsi="Cambria Math" w:eastAsia="Times New Roman" w:cs="Times New Roman"/>
                <w:sz w:val="28"/>
                <w:szCs w:val="28"/>
                <w:lang w:eastAsia="ru-RU"/>
              </w:rPr>
              <m:t>арх</m:t>
            </m:r>
            <m:ctrlPr>
              <w:rPr>
                <w:rFonts w:ascii="Cambria Math" w:hAnsi="Cambria Math" w:eastAsia="Times New Roman" w:cs="Times New Roman"/>
                <w:i/>
                <w:sz w:val="28"/>
                <w:szCs w:val="28"/>
                <w:lang w:eastAsia="ru-RU"/>
              </w:rPr>
            </m:ctrlPr>
          </m:sub>
        </m:sSub>
      </m:oMath>
      <w:r>
        <w:rPr>
          <w:rFonts w:ascii="Times New Roman" w:hAnsi="Times New Roman" w:eastAsia="Times New Roman" w:cs="Times New Roman"/>
          <w:sz w:val="28"/>
          <w:szCs w:val="28"/>
          <w:lang w:eastAsia="ru-RU"/>
        </w:rPr>
        <w:t xml:space="preserve"> – цена предоставления услуги по архивной обработке документов.</w:t>
      </w:r>
    </w:p>
    <w:p w14:paraId="209AB9F0">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hAnsi="Times New Roman" w:eastAsia="Times New Roman" w:cs="Times New Roman"/>
          <w:sz w:val="28"/>
          <w:szCs w:val="28"/>
          <w:lang w:eastAsia="ru-RU"/>
        </w:rPr>
        <w:t>Расчет затрат производится в соответствии с нормативами согласно       таблице №37.</w:t>
      </w:r>
    </w:p>
    <w:p w14:paraId="6ADBEA6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№37</w:t>
      </w:r>
    </w:p>
    <w:p w14:paraId="61B9D657">
      <w:pPr>
        <w:autoSpaceDE w:val="0"/>
        <w:autoSpaceDN w:val="0"/>
        <w:adjustRightInd w:val="0"/>
        <w:spacing w:after="120" w:line="360" w:lineRule="auto"/>
        <w:ind w:firstLine="709"/>
        <w:jc w:val="center"/>
        <w:rPr>
          <w:rFonts w:ascii="Times New Roman" w:hAnsi="Times New Roman" w:eastAsia="Times New Roman" w:cs="Times New Roman"/>
          <w:sz w:val="28"/>
          <w:szCs w:val="28"/>
          <w:lang w:eastAsia="ru-RU"/>
        </w:rPr>
      </w:pPr>
      <w:r>
        <w:rPr>
          <w:rFonts w:ascii="Times New Roman" w:hAnsi="Times New Roman" w:cs="Times New Roman"/>
          <w:bCs/>
          <w:sz w:val="28"/>
          <w:szCs w:val="28"/>
        </w:rPr>
        <w:t xml:space="preserve">Нормативы затрат на </w:t>
      </w:r>
      <w:r>
        <w:rPr>
          <w:rFonts w:ascii="Times New Roman" w:hAnsi="Times New Roman" w:eastAsia="Times New Roman" w:cs="Times New Roman"/>
          <w:sz w:val="28"/>
          <w:szCs w:val="28"/>
          <w:lang w:eastAsia="ru-RU"/>
        </w:rPr>
        <w:t>научно-техническую обработку документов постоянного хранения:</w:t>
      </w:r>
    </w:p>
    <w:tbl>
      <w:tblPr>
        <w:tblStyle w:val="3"/>
        <w:tblW w:w="4962"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71"/>
        <w:gridCol w:w="5020"/>
      </w:tblGrid>
      <w:tr w14:paraId="759F6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61" w:type="dxa"/>
          </w:tcPr>
          <w:p w14:paraId="132AD00D">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Количество разовых услуг*</w:t>
            </w:r>
          </w:p>
        </w:tc>
        <w:tc>
          <w:tcPr>
            <w:tcW w:w="4906" w:type="dxa"/>
          </w:tcPr>
          <w:p w14:paraId="6C7C3F9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Цена разового предоставления услуги, руб.</w:t>
            </w:r>
          </w:p>
        </w:tc>
      </w:tr>
      <w:tr w14:paraId="7E3D8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61" w:type="dxa"/>
            <w:vAlign w:val="center"/>
          </w:tcPr>
          <w:p w14:paraId="7ECD7652">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 единицы на министерство в год</w:t>
            </w:r>
          </w:p>
        </w:tc>
        <w:tc>
          <w:tcPr>
            <w:tcW w:w="4906" w:type="dxa"/>
            <w:vAlign w:val="center"/>
          </w:tcPr>
          <w:p w14:paraId="2B412BE4">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не более 100 000,00 </w:t>
            </w:r>
          </w:p>
        </w:tc>
      </w:tr>
    </w:tbl>
    <w:p w14:paraId="1955DB7E">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w:t>
      </w:r>
      <w:bookmarkStart w:id="5" w:name="_Hlk165019090"/>
      <w:r>
        <w:rPr>
          <w:rFonts w:ascii="Times New Roman" w:hAnsi="Times New Roman" w:cs="Times New Roman"/>
          <w:bCs/>
          <w:sz w:val="24"/>
          <w:szCs w:val="24"/>
        </w:rPr>
        <w:t>Количество разовых услуг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p>
    <w:bookmarkEnd w:id="5"/>
    <w:p w14:paraId="113A0766">
      <w:pPr>
        <w:widowControl w:val="0"/>
        <w:autoSpaceDE w:val="0"/>
        <w:autoSpaceDN w:val="0"/>
        <w:spacing w:after="0" w:line="360" w:lineRule="auto"/>
        <w:ind w:firstLine="709"/>
        <w:jc w:val="both"/>
        <w:rPr>
          <w:rFonts w:ascii="Times New Roman" w:hAnsi="Times New Roman" w:cs="Times New Roman"/>
          <w:bCs/>
          <w:sz w:val="28"/>
          <w:szCs w:val="28"/>
        </w:rPr>
      </w:pPr>
      <w:r>
        <w:rPr>
          <w:rFonts w:ascii="Times New Roman" w:hAnsi="Times New Roman" w:eastAsia="Times New Roman" w:cs="Times New Roman"/>
          <w:sz w:val="28"/>
          <w:szCs w:val="28"/>
          <w:lang w:eastAsia="ru-RU"/>
        </w:rPr>
        <w:t xml:space="preserve">19. </w:t>
      </w:r>
      <w:r>
        <w:rPr>
          <w:rFonts w:ascii="Times New Roman" w:hAnsi="Times New Roman" w:cs="Times New Roman"/>
          <w:bCs/>
          <w:sz w:val="28"/>
          <w:szCs w:val="28"/>
        </w:rPr>
        <w:t>Затраты на оплату</w:t>
      </w:r>
      <w:r>
        <w:t xml:space="preserve"> </w:t>
      </w:r>
      <w:r>
        <w:rPr>
          <w:rFonts w:ascii="Times New Roman" w:hAnsi="Times New Roman" w:cs="Times New Roman"/>
          <w:bCs/>
          <w:sz w:val="28"/>
          <w:szCs w:val="28"/>
        </w:rPr>
        <w:t>информационных услуг экономико-статистической информации для обеспечения органов исполнительной власти Кировской области определяются по формуле:</w:t>
      </w:r>
    </w:p>
    <w:p w14:paraId="36ABB09D">
      <w:pPr>
        <w:widowControl w:val="0"/>
        <w:autoSpaceDE w:val="0"/>
        <w:autoSpaceDN w:val="0"/>
        <w:spacing w:after="0" w:line="360" w:lineRule="auto"/>
        <w:ind w:firstLine="709"/>
        <w:jc w:val="both"/>
        <w:rPr>
          <w:rFonts w:ascii="Times New Roman" w:hAnsi="Times New Roman" w:eastAsia="Times New Roman" w:cs="Times New Roman"/>
          <w:sz w:val="28"/>
          <w:szCs w:val="28"/>
          <w:lang w:eastAsia="ru-RU"/>
        </w:rPr>
      </w:pPr>
      <w:r>
        <w:rPr>
          <w:rFonts w:ascii="Times New Roman" w:hAnsi="Times New Roman" w:cs="Times New Roman"/>
          <w:bCs/>
          <w:sz w:val="28"/>
          <w:szCs w:val="28"/>
        </w:rPr>
        <w:t xml:space="preserve"> </w:t>
      </w:r>
      <m:oMath>
        <m:r>
          <m:rPr>
            <m:sty m:val="p"/>
          </m:rPr>
          <w:rPr>
            <w:rFonts w:ascii="Cambria Math" w:hAnsi="Cambria Math" w:eastAsia="Times New Roman" w:cs="Times New Roman"/>
            <w:sz w:val="28"/>
            <w:szCs w:val="28"/>
            <w:lang w:eastAsia="ru-RU"/>
          </w:rPr>
          <w:br w:type="textWrapping"/>
        </m:r>
      </m:oMath>
      <m:oMathPara>
        <m:oMath>
          <m:sSub>
            <m:sSubPr>
              <m:ctrlPr>
                <w:rPr>
                  <w:rFonts w:ascii="Cambria Math" w:hAnsi="Cambria Math" w:eastAsia="Times New Roman" w:cs="Times New Roman"/>
                  <w:i/>
                  <w:sz w:val="28"/>
                  <w:szCs w:val="28"/>
                  <w:lang w:eastAsia="ru-RU"/>
                </w:rPr>
              </m:ctrlPr>
            </m:sSubPr>
            <m:e>
              <m:r>
                <m:rPr/>
                <w:rPr>
                  <w:rFonts w:ascii="Cambria Math" w:hAnsi="Cambria Math" w:eastAsia="Times New Roman" w:cs="Times New Roman"/>
                  <w:sz w:val="28"/>
                  <w:szCs w:val="28"/>
                  <w:lang w:eastAsia="ru-RU"/>
                </w:rPr>
                <m:t>З</m:t>
              </m:r>
              <m:ctrlPr>
                <w:rPr>
                  <w:rFonts w:ascii="Cambria Math" w:hAnsi="Cambria Math" w:eastAsia="Times New Roman" w:cs="Times New Roman"/>
                  <w:i/>
                  <w:sz w:val="28"/>
                  <w:szCs w:val="28"/>
                  <w:lang w:eastAsia="ru-RU"/>
                </w:rPr>
              </m:ctrlPr>
            </m:e>
            <m:sub>
              <m:r>
                <m:rPr/>
                <w:rPr>
                  <w:rFonts w:ascii="Cambria Math" w:hAnsi="Cambria Math" w:eastAsia="Times New Roman" w:cs="Times New Roman"/>
                  <w:sz w:val="28"/>
                  <w:szCs w:val="28"/>
                  <w:lang w:eastAsia="ru-RU"/>
                </w:rPr>
                <m:t>стат</m:t>
              </m:r>
              <m:ctrlPr>
                <w:rPr>
                  <w:rFonts w:ascii="Cambria Math" w:hAnsi="Cambria Math" w:eastAsia="Times New Roman" w:cs="Times New Roman"/>
                  <w:i/>
                  <w:sz w:val="28"/>
                  <w:szCs w:val="28"/>
                  <w:lang w:eastAsia="ru-RU"/>
                </w:rPr>
              </m:ctrlPr>
            </m:sub>
          </m:sSub>
          <m:r>
            <m:rPr/>
            <w:rPr>
              <w:rFonts w:ascii="Cambria Math" w:hAnsi="Cambria Math" w:eastAsia="Times New Roman" w:cs="Times New Roman"/>
              <w:sz w:val="28"/>
              <w:szCs w:val="28"/>
              <w:lang w:eastAsia="ru-RU"/>
            </w:rPr>
            <m:t>=</m:t>
          </m:r>
          <m:sSub>
            <m:sSubPr>
              <m:ctrlPr>
                <w:rPr>
                  <w:rFonts w:ascii="Cambria Math" w:hAnsi="Cambria Math" w:eastAsia="Times New Roman" w:cs="Times New Roman"/>
                  <w:i/>
                  <w:sz w:val="28"/>
                  <w:szCs w:val="28"/>
                  <w:lang w:eastAsia="ru-RU"/>
                </w:rPr>
              </m:ctrlPr>
            </m:sSubPr>
            <m:e>
              <m:r>
                <m:rPr/>
                <w:rPr>
                  <w:rFonts w:ascii="Cambria Math" w:hAnsi="Cambria Math" w:eastAsia="Times New Roman" w:cs="Times New Roman"/>
                  <w:sz w:val="28"/>
                  <w:szCs w:val="28"/>
                  <w:lang w:val="en-US" w:eastAsia="ru-RU"/>
                </w:rPr>
                <m:t>Q</m:t>
              </m:r>
              <m:ctrlPr>
                <w:rPr>
                  <w:rFonts w:ascii="Cambria Math" w:hAnsi="Cambria Math" w:eastAsia="Times New Roman" w:cs="Times New Roman"/>
                  <w:i/>
                  <w:sz w:val="28"/>
                  <w:szCs w:val="28"/>
                  <w:lang w:eastAsia="ru-RU"/>
                </w:rPr>
              </m:ctrlPr>
            </m:e>
            <m:sub>
              <m:r>
                <m:rPr/>
                <w:rPr>
                  <w:rFonts w:ascii="Cambria Math" w:hAnsi="Cambria Math" w:eastAsia="Times New Roman" w:cs="Times New Roman"/>
                  <w:sz w:val="28"/>
                  <w:szCs w:val="28"/>
                  <w:lang w:eastAsia="ru-RU"/>
                </w:rPr>
                <m:t>стат</m:t>
              </m:r>
              <m:ctrlPr>
                <w:rPr>
                  <w:rFonts w:ascii="Cambria Math" w:hAnsi="Cambria Math" w:eastAsia="Times New Roman" w:cs="Times New Roman"/>
                  <w:i/>
                  <w:sz w:val="28"/>
                  <w:szCs w:val="28"/>
                  <w:lang w:eastAsia="ru-RU"/>
                </w:rPr>
              </m:ctrlPr>
            </m:sub>
          </m:sSub>
          <m:r>
            <m:rPr/>
            <w:rPr>
              <w:rFonts w:ascii="Cambria Math" w:hAnsi="Cambria Math" w:eastAsia="Times New Roman" w:cs="Times New Roman"/>
              <w:sz w:val="28"/>
              <w:szCs w:val="28"/>
              <w:lang w:eastAsia="ru-RU"/>
            </w:rPr>
            <m:t>×</m:t>
          </m:r>
          <m:sSub>
            <m:sSubPr>
              <m:ctrlPr>
                <w:rPr>
                  <w:rFonts w:ascii="Cambria Math" w:hAnsi="Cambria Math" w:eastAsia="Times New Roman" w:cs="Times New Roman"/>
                  <w:i/>
                  <w:sz w:val="28"/>
                  <w:szCs w:val="28"/>
                  <w:lang w:eastAsia="ru-RU"/>
                </w:rPr>
              </m:ctrlPr>
            </m:sSubPr>
            <m:e>
              <m:r>
                <m:rPr/>
                <w:rPr>
                  <w:rFonts w:ascii="Cambria Math" w:hAnsi="Cambria Math" w:eastAsia="Times New Roman" w:cs="Times New Roman"/>
                  <w:sz w:val="28"/>
                  <w:szCs w:val="28"/>
                  <w:lang w:eastAsia="ru-RU"/>
                </w:rPr>
                <m:t>Р</m:t>
              </m:r>
              <m:ctrlPr>
                <w:rPr>
                  <w:rFonts w:ascii="Cambria Math" w:hAnsi="Cambria Math" w:eastAsia="Times New Roman" w:cs="Times New Roman"/>
                  <w:i/>
                  <w:sz w:val="28"/>
                  <w:szCs w:val="28"/>
                  <w:lang w:eastAsia="ru-RU"/>
                </w:rPr>
              </m:ctrlPr>
            </m:e>
            <m:sub>
              <m:r>
                <m:rPr/>
                <w:rPr>
                  <w:rFonts w:ascii="Cambria Math" w:hAnsi="Cambria Math" w:eastAsia="Times New Roman" w:cs="Times New Roman"/>
                  <w:sz w:val="28"/>
                  <w:szCs w:val="28"/>
                  <w:lang w:eastAsia="ru-RU"/>
                </w:rPr>
                <m:t>стат</m:t>
              </m:r>
              <m:ctrlPr>
                <w:rPr>
                  <w:rFonts w:ascii="Cambria Math" w:hAnsi="Cambria Math" w:eastAsia="Times New Roman" w:cs="Times New Roman"/>
                  <w:i/>
                  <w:sz w:val="28"/>
                  <w:szCs w:val="28"/>
                  <w:lang w:eastAsia="ru-RU"/>
                </w:rPr>
              </m:ctrlPr>
            </m:sub>
          </m:sSub>
          <m:r>
            <m:rPr/>
            <w:rPr>
              <w:rFonts w:ascii="Cambria Math" w:hAnsi="Cambria Math" w:eastAsia="Times New Roman" w:cs="Times New Roman"/>
              <w:sz w:val="28"/>
              <w:szCs w:val="28"/>
              <w:lang w:eastAsia="ru-RU"/>
            </w:rPr>
            <m:t>, где</m:t>
          </m:r>
        </m:oMath>
      </m:oMathPara>
    </w:p>
    <w:p w14:paraId="73A35092">
      <w:pPr>
        <w:widowControl w:val="0"/>
        <w:autoSpaceDE w:val="0"/>
        <w:autoSpaceDN w:val="0"/>
        <w:spacing w:after="0" w:line="360" w:lineRule="auto"/>
        <w:ind w:firstLine="709"/>
        <w:jc w:val="both"/>
        <w:rPr>
          <w:rFonts w:ascii="Times New Roman" w:hAnsi="Times New Roman" w:eastAsia="Times New Roman" w:cs="Times New Roman"/>
          <w:sz w:val="28"/>
          <w:szCs w:val="28"/>
          <w:lang w:eastAsia="ru-RU"/>
        </w:rPr>
      </w:pPr>
      <m:oMath>
        <m:sSub>
          <m:sSubPr>
            <m:ctrlPr>
              <w:rPr>
                <w:rFonts w:ascii="Cambria Math" w:hAnsi="Cambria Math" w:eastAsia="Times New Roman" w:cs="Times New Roman"/>
                <w:i/>
                <w:sz w:val="28"/>
                <w:szCs w:val="28"/>
                <w:lang w:eastAsia="ru-RU"/>
              </w:rPr>
            </m:ctrlPr>
          </m:sSubPr>
          <m:e>
            <m:r>
              <m:rPr/>
              <w:rPr>
                <w:rFonts w:ascii="Cambria Math" w:hAnsi="Cambria Math" w:eastAsia="Times New Roman" w:cs="Times New Roman"/>
                <w:sz w:val="28"/>
                <w:szCs w:val="28"/>
                <w:lang w:val="en-US" w:eastAsia="ru-RU"/>
              </w:rPr>
              <m:t>Q</m:t>
            </m:r>
            <m:ctrlPr>
              <w:rPr>
                <w:rFonts w:ascii="Cambria Math" w:hAnsi="Cambria Math" w:eastAsia="Times New Roman" w:cs="Times New Roman"/>
                <w:i/>
                <w:sz w:val="28"/>
                <w:szCs w:val="28"/>
                <w:lang w:eastAsia="ru-RU"/>
              </w:rPr>
            </m:ctrlPr>
          </m:e>
          <m:sub>
            <m:r>
              <m:rPr/>
              <w:rPr>
                <w:rFonts w:ascii="Cambria Math" w:hAnsi="Cambria Math" w:eastAsia="Times New Roman" w:cs="Times New Roman"/>
                <w:sz w:val="28"/>
                <w:szCs w:val="28"/>
                <w:lang w:eastAsia="ru-RU"/>
              </w:rPr>
              <m:t>стат</m:t>
            </m:r>
            <m:ctrlPr>
              <w:rPr>
                <w:rFonts w:ascii="Cambria Math" w:hAnsi="Cambria Math" w:eastAsia="Times New Roman" w:cs="Times New Roman"/>
                <w:i/>
                <w:sz w:val="28"/>
                <w:szCs w:val="28"/>
                <w:lang w:eastAsia="ru-RU"/>
              </w:rPr>
            </m:ctrlPr>
          </m:sub>
        </m:sSub>
      </m:oMath>
      <w:r>
        <w:rPr>
          <w:rFonts w:ascii="Times New Roman" w:hAnsi="Times New Roman" w:eastAsia="Times New Roman" w:cs="Times New Roman"/>
          <w:sz w:val="28"/>
          <w:szCs w:val="28"/>
          <w:lang w:eastAsia="ru-RU"/>
        </w:rPr>
        <w:t xml:space="preserve"> – количество месяцев пользования услугой,</w:t>
      </w:r>
    </w:p>
    <w:p w14:paraId="5B56F390">
      <w:pPr>
        <w:widowControl w:val="0"/>
        <w:autoSpaceDE w:val="0"/>
        <w:autoSpaceDN w:val="0"/>
        <w:spacing w:after="0" w:line="360" w:lineRule="auto"/>
        <w:ind w:firstLine="709"/>
        <w:jc w:val="both"/>
        <w:rPr>
          <w:rFonts w:ascii="Times New Roman" w:hAnsi="Times New Roman" w:eastAsia="Times New Roman" w:cs="Times New Roman"/>
          <w:sz w:val="28"/>
          <w:szCs w:val="28"/>
          <w:lang w:eastAsia="ru-RU"/>
        </w:rPr>
      </w:pPr>
      <m:oMath>
        <m:sSub>
          <m:sSubPr>
            <m:ctrlPr>
              <w:rPr>
                <w:rFonts w:ascii="Cambria Math" w:hAnsi="Cambria Math" w:eastAsia="Times New Roman" w:cs="Times New Roman"/>
                <w:i/>
                <w:sz w:val="28"/>
                <w:szCs w:val="28"/>
                <w:lang w:eastAsia="ru-RU"/>
              </w:rPr>
            </m:ctrlPr>
          </m:sSubPr>
          <m:e>
            <m:r>
              <m:rPr/>
              <w:rPr>
                <w:rFonts w:ascii="Cambria Math" w:hAnsi="Cambria Math" w:eastAsia="Times New Roman" w:cs="Times New Roman"/>
                <w:sz w:val="28"/>
                <w:szCs w:val="28"/>
                <w:lang w:eastAsia="ru-RU"/>
              </w:rPr>
              <m:t>Р</m:t>
            </m:r>
            <m:ctrlPr>
              <w:rPr>
                <w:rFonts w:ascii="Cambria Math" w:hAnsi="Cambria Math" w:eastAsia="Times New Roman" w:cs="Times New Roman"/>
                <w:i/>
                <w:sz w:val="28"/>
                <w:szCs w:val="28"/>
                <w:lang w:eastAsia="ru-RU"/>
              </w:rPr>
            </m:ctrlPr>
          </m:e>
          <m:sub>
            <m:r>
              <m:rPr/>
              <w:rPr>
                <w:rFonts w:ascii="Cambria Math" w:hAnsi="Cambria Math" w:eastAsia="Times New Roman" w:cs="Times New Roman"/>
                <w:sz w:val="28"/>
                <w:szCs w:val="28"/>
                <w:lang w:eastAsia="ru-RU"/>
              </w:rPr>
              <m:t>арх</m:t>
            </m:r>
            <m:ctrlPr>
              <w:rPr>
                <w:rFonts w:ascii="Cambria Math" w:hAnsi="Cambria Math" w:eastAsia="Times New Roman" w:cs="Times New Roman"/>
                <w:i/>
                <w:sz w:val="28"/>
                <w:szCs w:val="28"/>
                <w:lang w:eastAsia="ru-RU"/>
              </w:rPr>
            </m:ctrlPr>
          </m:sub>
        </m:sSub>
      </m:oMath>
      <w:r>
        <w:rPr>
          <w:rFonts w:ascii="Times New Roman" w:hAnsi="Times New Roman" w:eastAsia="Times New Roman" w:cs="Times New Roman"/>
          <w:sz w:val="28"/>
          <w:szCs w:val="28"/>
          <w:lang w:eastAsia="ru-RU"/>
        </w:rPr>
        <w:t xml:space="preserve"> – цена предоставления услуги по пользованию </w:t>
      </w:r>
      <w:r>
        <w:rPr>
          <w:rFonts w:ascii="Times New Roman" w:hAnsi="Times New Roman" w:cs="Times New Roman"/>
          <w:bCs/>
          <w:sz w:val="28"/>
          <w:szCs w:val="28"/>
        </w:rPr>
        <w:t>экономико-статистической информации</w:t>
      </w:r>
      <w:r>
        <w:rPr>
          <w:rFonts w:ascii="Times New Roman" w:hAnsi="Times New Roman" w:eastAsia="Times New Roman" w:cs="Times New Roman"/>
          <w:sz w:val="28"/>
          <w:szCs w:val="28"/>
          <w:lang w:eastAsia="ru-RU"/>
        </w:rPr>
        <w:t>.</w:t>
      </w:r>
    </w:p>
    <w:p w14:paraId="2165AC4A">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hAnsi="Times New Roman" w:eastAsia="Times New Roman" w:cs="Times New Roman"/>
          <w:sz w:val="28"/>
          <w:szCs w:val="28"/>
          <w:lang w:eastAsia="ru-RU"/>
        </w:rPr>
        <w:t>Расчет затрат производится в соответствии с нормативами согласно       таблице №38.</w:t>
      </w:r>
    </w:p>
    <w:p w14:paraId="548F4E73">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№38</w:t>
      </w:r>
    </w:p>
    <w:p w14:paraId="18C17B21">
      <w:pPr>
        <w:widowControl w:val="0"/>
        <w:autoSpaceDE w:val="0"/>
        <w:autoSpaceDN w:val="0"/>
        <w:spacing w:after="0" w:line="360" w:lineRule="auto"/>
        <w:jc w:val="center"/>
        <w:rPr>
          <w:rFonts w:ascii="Times New Roman" w:hAnsi="Times New Roman" w:eastAsia="Times New Roman" w:cs="Times New Roman"/>
          <w:sz w:val="28"/>
          <w:szCs w:val="28"/>
          <w:lang w:eastAsia="ru-RU"/>
        </w:rPr>
      </w:pPr>
      <w:r>
        <w:rPr>
          <w:rFonts w:ascii="Times New Roman" w:hAnsi="Times New Roman" w:cs="Times New Roman"/>
          <w:bCs/>
          <w:sz w:val="28"/>
          <w:szCs w:val="28"/>
        </w:rPr>
        <w:t xml:space="preserve">Нормативные затраты на </w:t>
      </w:r>
      <w:r>
        <w:rPr>
          <w:rFonts w:ascii="Times New Roman" w:hAnsi="Times New Roman" w:eastAsia="Times New Roman" w:cs="Times New Roman"/>
          <w:sz w:val="28"/>
          <w:szCs w:val="28"/>
          <w:lang w:eastAsia="ru-RU"/>
        </w:rPr>
        <w:t>информационные услуги по предоставлению        заказчику экономико-статистической информации в электронном виде</w:t>
      </w:r>
    </w:p>
    <w:tbl>
      <w:tblPr>
        <w:tblStyle w:val="3"/>
        <w:tblW w:w="978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95"/>
        <w:gridCol w:w="5386"/>
      </w:tblGrid>
      <w:tr w14:paraId="33F69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4395" w:type="dxa"/>
          </w:tcPr>
          <w:p w14:paraId="519D63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месяцев оказания услуг</w:t>
            </w:r>
          </w:p>
        </w:tc>
        <w:tc>
          <w:tcPr>
            <w:tcW w:w="5386" w:type="dxa"/>
            <w:vAlign w:val="center"/>
          </w:tcPr>
          <w:p w14:paraId="1DF7514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стоимости услуг на год, руб.</w:t>
            </w:r>
          </w:p>
        </w:tc>
      </w:tr>
      <w:tr w14:paraId="15044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4395" w:type="dxa"/>
            <w:vAlign w:val="center"/>
          </w:tcPr>
          <w:p w14:paraId="1757E21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Не более 12 месяцев</w:t>
            </w:r>
          </w:p>
        </w:tc>
        <w:tc>
          <w:tcPr>
            <w:tcW w:w="5386" w:type="dxa"/>
            <w:vAlign w:val="center"/>
          </w:tcPr>
          <w:p w14:paraId="2188B7E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3 000 000,00</w:t>
            </w:r>
          </w:p>
        </w:tc>
      </w:tr>
    </w:tbl>
    <w:p w14:paraId="60B09673">
      <w:pPr>
        <w:widowControl w:val="0"/>
        <w:autoSpaceDE w:val="0"/>
        <w:autoSpaceDN w:val="0"/>
        <w:spacing w:after="0" w:line="360" w:lineRule="auto"/>
        <w:ind w:firstLine="709"/>
        <w:jc w:val="both"/>
        <w:rPr>
          <w:rFonts w:ascii="Times New Roman" w:hAnsi="Times New Roman" w:eastAsia="Times New Roman" w:cs="Times New Roman"/>
          <w:sz w:val="28"/>
          <w:szCs w:val="28"/>
          <w:lang w:eastAsia="ru-RU"/>
        </w:rPr>
      </w:pPr>
    </w:p>
    <w:p w14:paraId="718892F0">
      <w:pPr>
        <w:widowControl w:val="0"/>
        <w:autoSpaceDE w:val="0"/>
        <w:autoSpaceDN w:val="0"/>
        <w:spacing w:after="0" w:line="36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20.</w:t>
      </w:r>
      <w:r>
        <w:t xml:space="preserve"> </w:t>
      </w:r>
      <w:r>
        <w:rPr>
          <w:rFonts w:ascii="Times New Roman" w:hAnsi="Times New Roman" w:eastAsia="Times New Roman" w:cs="Times New Roman"/>
          <w:sz w:val="28"/>
          <w:szCs w:val="28"/>
          <w:lang w:eastAsia="ru-RU"/>
        </w:rPr>
        <w:t>Затраты на приобретение услуг по разработке, изготовлению и адаптации презентационного материала (З</w:t>
      </w:r>
      <w:r>
        <w:rPr>
          <w:rFonts w:ascii="Times New Roman" w:hAnsi="Times New Roman" w:eastAsia="Times New Roman" w:cs="Times New Roman"/>
          <w:sz w:val="28"/>
          <w:szCs w:val="28"/>
          <w:vertAlign w:val="subscript"/>
          <w:lang w:eastAsia="ru-RU"/>
        </w:rPr>
        <w:t>пр</w:t>
      </w:r>
      <w:r>
        <w:rPr>
          <w:rFonts w:ascii="Times New Roman" w:hAnsi="Times New Roman" w:eastAsia="Times New Roman" w:cs="Times New Roman"/>
          <w:sz w:val="28"/>
          <w:szCs w:val="28"/>
          <w:lang w:eastAsia="ru-RU"/>
        </w:rPr>
        <w:t>),раздаточного материала и сувенирной продукции определяются по формуле:</w:t>
      </w:r>
    </w:p>
    <w:p w14:paraId="1F7A073D">
      <w:pPr>
        <w:widowControl w:val="0"/>
        <w:autoSpaceDE w:val="0"/>
        <w:autoSpaceDN w:val="0"/>
        <w:spacing w:after="0" w:line="36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З</w:t>
      </w:r>
      <w:r>
        <w:rPr>
          <w:rFonts w:ascii="Times New Roman" w:hAnsi="Times New Roman" w:eastAsia="Times New Roman" w:cs="Times New Roman"/>
          <w:sz w:val="28"/>
          <w:szCs w:val="28"/>
          <w:vertAlign w:val="subscript"/>
          <w:lang w:eastAsia="ru-RU"/>
        </w:rPr>
        <w:t>пр</w:t>
      </w:r>
      <w:r>
        <w:rPr>
          <w:rFonts w:ascii="Times New Roman" w:hAnsi="Times New Roman" w:eastAsia="Times New Roman" w:cs="Times New Roman"/>
          <w:sz w:val="28"/>
          <w:szCs w:val="28"/>
          <w:lang w:eastAsia="ru-RU"/>
        </w:rPr>
        <w:t xml:space="preserve"> = </w:t>
      </w:r>
      <w:r>
        <w:rPr>
          <w:rFonts w:ascii="Times New Roman" w:hAnsi="Times New Roman" w:eastAsia="Times New Roman" w:cs="Times New Roman"/>
          <w:sz w:val="28"/>
          <w:szCs w:val="28"/>
          <w:lang w:val="en-US" w:eastAsia="ru-RU"/>
        </w:rPr>
        <w:t>Q</w:t>
      </w:r>
      <w:r>
        <w:rPr>
          <w:rFonts w:ascii="Times New Roman" w:hAnsi="Times New Roman" w:eastAsia="Times New Roman" w:cs="Times New Roman"/>
          <w:sz w:val="28"/>
          <w:szCs w:val="28"/>
          <w:vertAlign w:val="subscript"/>
          <w:lang w:val="en-US" w:eastAsia="ru-RU"/>
        </w:rPr>
        <w:t>i</w:t>
      </w:r>
      <w:r>
        <w:rPr>
          <w:rFonts w:ascii="Times New Roman" w:hAnsi="Times New Roman" w:eastAsia="Times New Roman" w:cs="Times New Roman"/>
          <w:sz w:val="28"/>
          <w:szCs w:val="28"/>
          <w:vertAlign w:val="subscript"/>
          <w:lang w:eastAsia="ru-RU"/>
        </w:rPr>
        <w:t xml:space="preserve"> пр</w:t>
      </w:r>
      <w:r>
        <w:rPr>
          <w:rFonts w:ascii="Times New Roman" w:hAnsi="Times New Roman" w:eastAsia="Times New Roman" w:cs="Times New Roman"/>
          <w:sz w:val="28"/>
          <w:szCs w:val="28"/>
          <w:lang w:eastAsia="ru-RU"/>
        </w:rPr>
        <w:t xml:space="preserve"> х Р</w:t>
      </w:r>
      <w:r>
        <w:rPr>
          <w:rFonts w:ascii="Times New Roman" w:hAnsi="Times New Roman" w:eastAsia="Times New Roman" w:cs="Times New Roman"/>
          <w:sz w:val="28"/>
          <w:szCs w:val="28"/>
          <w:vertAlign w:val="subscript"/>
          <w:lang w:val="en-US" w:eastAsia="ru-RU"/>
        </w:rPr>
        <w:t>i</w:t>
      </w:r>
      <w:r>
        <w:rPr>
          <w:rFonts w:ascii="Times New Roman" w:hAnsi="Times New Roman" w:eastAsia="Times New Roman" w:cs="Times New Roman"/>
          <w:sz w:val="28"/>
          <w:szCs w:val="28"/>
          <w:vertAlign w:val="subscript"/>
          <w:lang w:eastAsia="ru-RU"/>
        </w:rPr>
        <w:t xml:space="preserve"> пр</w:t>
      </w:r>
      <w:r>
        <w:rPr>
          <w:rFonts w:ascii="Times New Roman" w:hAnsi="Times New Roman" w:eastAsia="Times New Roman" w:cs="Times New Roman"/>
          <w:sz w:val="28"/>
          <w:szCs w:val="28"/>
          <w:lang w:eastAsia="ru-RU"/>
        </w:rPr>
        <w:t>, где:</w:t>
      </w:r>
    </w:p>
    <w:p w14:paraId="277460FD">
      <w:pPr>
        <w:widowControl w:val="0"/>
        <w:autoSpaceDE w:val="0"/>
        <w:autoSpaceDN w:val="0"/>
        <w:spacing w:after="0" w:line="36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val="en-US" w:eastAsia="ru-RU"/>
        </w:rPr>
        <w:t>Q</w:t>
      </w:r>
      <w:r>
        <w:rPr>
          <w:rFonts w:ascii="Times New Roman" w:hAnsi="Times New Roman" w:eastAsia="Times New Roman" w:cs="Times New Roman"/>
          <w:sz w:val="28"/>
          <w:szCs w:val="28"/>
          <w:vertAlign w:val="subscript"/>
          <w:lang w:val="en-US" w:eastAsia="ru-RU"/>
        </w:rPr>
        <w:t>i</w:t>
      </w:r>
      <w:r>
        <w:rPr>
          <w:rFonts w:ascii="Times New Roman" w:hAnsi="Times New Roman" w:eastAsia="Times New Roman" w:cs="Times New Roman"/>
          <w:sz w:val="28"/>
          <w:szCs w:val="28"/>
          <w:vertAlign w:val="subscript"/>
          <w:lang w:eastAsia="ru-RU"/>
        </w:rPr>
        <w:t xml:space="preserve"> пр</w:t>
      </w:r>
      <w:r>
        <w:rPr>
          <w:rFonts w:ascii="Times New Roman" w:hAnsi="Times New Roman" w:eastAsia="Times New Roman" w:cs="Times New Roman"/>
          <w:sz w:val="28"/>
          <w:szCs w:val="28"/>
          <w:lang w:eastAsia="ru-RU"/>
        </w:rPr>
        <w:t xml:space="preserve"> – количество i-ых услуг по разработке, изготовлению и адаптации презентационного материала, раздаточного материала и сувенирной продукции;</w:t>
      </w:r>
    </w:p>
    <w:p w14:paraId="36B99BBC">
      <w:pPr>
        <w:widowControl w:val="0"/>
        <w:autoSpaceDE w:val="0"/>
        <w:autoSpaceDN w:val="0"/>
        <w:spacing w:after="0" w:line="36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Р</w:t>
      </w:r>
      <w:r>
        <w:rPr>
          <w:rFonts w:ascii="Times New Roman" w:hAnsi="Times New Roman" w:eastAsia="Times New Roman" w:cs="Times New Roman"/>
          <w:sz w:val="28"/>
          <w:szCs w:val="28"/>
          <w:vertAlign w:val="subscript"/>
          <w:lang w:val="en-US" w:eastAsia="ru-RU"/>
        </w:rPr>
        <w:t>i</w:t>
      </w:r>
      <w:r>
        <w:rPr>
          <w:rFonts w:ascii="Times New Roman" w:hAnsi="Times New Roman" w:eastAsia="Times New Roman" w:cs="Times New Roman"/>
          <w:sz w:val="28"/>
          <w:szCs w:val="28"/>
          <w:vertAlign w:val="subscript"/>
          <w:lang w:eastAsia="ru-RU"/>
        </w:rPr>
        <w:t xml:space="preserve"> пр</w:t>
      </w:r>
      <w:r>
        <w:rPr>
          <w:rFonts w:ascii="Times New Roman" w:hAnsi="Times New Roman" w:eastAsia="Times New Roman" w:cs="Times New Roman"/>
          <w:sz w:val="28"/>
          <w:szCs w:val="28"/>
          <w:lang w:eastAsia="ru-RU"/>
        </w:rPr>
        <w:t xml:space="preserve"> – цена единицы i-ой услуги по разработке, изготовлению и адаптации презентационного материала, раздаточного материала и сувенирной продукции.</w:t>
      </w:r>
    </w:p>
    <w:p w14:paraId="1897548E">
      <w:pPr>
        <w:widowControl w:val="0"/>
        <w:autoSpaceDE w:val="0"/>
        <w:autoSpaceDN w:val="0"/>
        <w:spacing w:after="0" w:line="360" w:lineRule="auto"/>
        <w:ind w:firstLine="709"/>
        <w:jc w:val="both"/>
        <w:rPr>
          <w:rFonts w:ascii="Times New Roman" w:hAnsi="Times New Roman" w:cs="Times New Roman"/>
          <w:sz w:val="28"/>
          <w:szCs w:val="28"/>
        </w:rPr>
      </w:pPr>
      <w:r>
        <w:rPr>
          <w:rFonts w:ascii="Times New Roman" w:hAnsi="Times New Roman" w:eastAsia="Times New Roman" w:cs="Times New Roman"/>
          <w:sz w:val="28"/>
          <w:szCs w:val="28"/>
          <w:lang w:eastAsia="ru-RU"/>
        </w:rPr>
        <w:t>Расчет затрат производится в соответствии с нормативами согласно       таблице №39.</w:t>
      </w:r>
    </w:p>
    <w:p w14:paraId="304C9C53">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№39.</w:t>
      </w:r>
    </w:p>
    <w:p w14:paraId="0615E8A8">
      <w:pPr>
        <w:widowControl w:val="0"/>
        <w:autoSpaceDE w:val="0"/>
        <w:autoSpaceDN w:val="0"/>
        <w:spacing w:after="0" w:line="240" w:lineRule="auto"/>
        <w:jc w:val="center"/>
        <w:rPr>
          <w:rFonts w:ascii="Times New Roman" w:hAnsi="Times New Roman" w:cs="Times New Roman"/>
          <w:bCs/>
          <w:sz w:val="28"/>
          <w:szCs w:val="28"/>
        </w:rPr>
      </w:pPr>
      <w:r>
        <w:rPr>
          <w:rFonts w:ascii="Times New Roman" w:hAnsi="Times New Roman" w:cs="Times New Roman" w:eastAsiaTheme="minorEastAsia"/>
          <w:bCs/>
          <w:sz w:val="28"/>
          <w:szCs w:val="28"/>
        </w:rPr>
        <w:t xml:space="preserve">Нормативы затрат на </w:t>
      </w:r>
      <w:r>
        <w:rPr>
          <w:rFonts w:ascii="Times New Roman" w:hAnsi="Times New Roman" w:cs="Times New Roman"/>
          <w:bCs/>
          <w:sz w:val="28"/>
          <w:szCs w:val="28"/>
        </w:rPr>
        <w:t>приобретение услуг</w:t>
      </w:r>
    </w:p>
    <w:p w14:paraId="118B39F8">
      <w:pPr>
        <w:widowControl w:val="0"/>
        <w:autoSpaceDE w:val="0"/>
        <w:autoSpaceDN w:val="0"/>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 xml:space="preserve"> по разработке, изготовлению и адаптации презентационного, раздаточного материала и сувенирной продукции</w:t>
      </w:r>
    </w:p>
    <w:p w14:paraId="253B96C4">
      <w:pPr>
        <w:widowControl w:val="0"/>
        <w:autoSpaceDE w:val="0"/>
        <w:autoSpaceDN w:val="0"/>
        <w:spacing w:after="0" w:line="240" w:lineRule="auto"/>
        <w:ind w:firstLine="709"/>
        <w:jc w:val="center"/>
        <w:rPr>
          <w:rFonts w:eastAsiaTheme="minorEastAsia"/>
          <w:bCs/>
          <w:sz w:val="28"/>
          <w:szCs w:val="28"/>
        </w:rPr>
      </w:pPr>
    </w:p>
    <w:tbl>
      <w:tblPr>
        <w:tblStyle w:val="3"/>
        <w:tblW w:w="92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5307"/>
        <w:gridCol w:w="3902"/>
      </w:tblGrid>
      <w:tr w14:paraId="3C61B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307" w:type="dxa"/>
          </w:tcPr>
          <w:p w14:paraId="7A13B577">
            <w:pPr>
              <w:spacing w:after="1"/>
              <w:jc w:val="center"/>
              <w:rPr>
                <w:rFonts w:ascii="Times New Roman" w:hAnsi="Times New Roman" w:cs="Times New Roman"/>
                <w:sz w:val="28"/>
              </w:rPr>
            </w:pPr>
            <w:r>
              <w:rPr>
                <w:rFonts w:ascii="Times New Roman" w:hAnsi="Times New Roman" w:cs="Times New Roman"/>
                <w:sz w:val="28"/>
              </w:rPr>
              <w:t>Наименование</w:t>
            </w:r>
          </w:p>
        </w:tc>
        <w:tc>
          <w:tcPr>
            <w:tcW w:w="3902" w:type="dxa"/>
          </w:tcPr>
          <w:p w14:paraId="79E0B3E1">
            <w:pPr>
              <w:spacing w:after="1"/>
              <w:jc w:val="center"/>
              <w:rPr>
                <w:rFonts w:ascii="Times New Roman" w:hAnsi="Times New Roman" w:cs="Times New Roman"/>
                <w:sz w:val="28"/>
              </w:rPr>
            </w:pPr>
            <w:r>
              <w:rPr>
                <w:rFonts w:ascii="Times New Roman" w:hAnsi="Times New Roman" w:cs="Times New Roman"/>
                <w:sz w:val="28"/>
              </w:rPr>
              <w:t xml:space="preserve">Норматив цены за единицу (рублей) </w:t>
            </w:r>
          </w:p>
        </w:tc>
      </w:tr>
      <w:tr w14:paraId="5BA7A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307" w:type="dxa"/>
          </w:tcPr>
          <w:p w14:paraId="0B06EAD3">
            <w:pPr>
              <w:spacing w:after="1" w:line="240" w:lineRule="atLeast"/>
              <w:rPr>
                <w:rFonts w:ascii="Times New Roman" w:hAnsi="Times New Roman" w:cs="Times New Roman"/>
                <w:sz w:val="28"/>
              </w:rPr>
            </w:pPr>
            <w:r>
              <w:rPr>
                <w:rFonts w:ascii="Times New Roman" w:hAnsi="Times New Roman" w:cs="Times New Roman"/>
                <w:sz w:val="28"/>
              </w:rPr>
              <w:t xml:space="preserve">Услуги по разработке, изготовлению и адаптации презентационного материала об инвестиционном потенциале Кировской области и изготовлению прочего презентационного материала </w:t>
            </w:r>
          </w:p>
        </w:tc>
        <w:tc>
          <w:tcPr>
            <w:tcW w:w="3902" w:type="dxa"/>
          </w:tcPr>
          <w:p w14:paraId="671CEC71">
            <w:pPr>
              <w:spacing w:after="1" w:line="240" w:lineRule="atLeast"/>
              <w:jc w:val="center"/>
              <w:rPr>
                <w:rFonts w:ascii="Times New Roman" w:hAnsi="Times New Roman" w:cs="Times New Roman"/>
                <w:sz w:val="28"/>
              </w:rPr>
            </w:pPr>
            <w:r>
              <w:rPr>
                <w:rFonts w:ascii="Times New Roman" w:hAnsi="Times New Roman" w:cs="Times New Roman"/>
                <w:sz w:val="28"/>
              </w:rPr>
              <w:t>не более 200 000,00</w:t>
            </w:r>
          </w:p>
        </w:tc>
      </w:tr>
      <w:tr w14:paraId="7C062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307" w:type="dxa"/>
          </w:tcPr>
          <w:p w14:paraId="2269D279">
            <w:pPr>
              <w:spacing w:after="1" w:line="240" w:lineRule="atLeast"/>
              <w:rPr>
                <w:rFonts w:ascii="Times New Roman" w:hAnsi="Times New Roman" w:cs="Times New Roman"/>
                <w:sz w:val="28"/>
              </w:rPr>
            </w:pPr>
            <w:r>
              <w:rPr>
                <w:rFonts w:ascii="Times New Roman" w:hAnsi="Times New Roman" w:cs="Times New Roman"/>
                <w:sz w:val="28"/>
              </w:rPr>
              <w:t xml:space="preserve">Изготовление раздаточного материала, сувенирной продукции </w:t>
            </w:r>
          </w:p>
        </w:tc>
        <w:tc>
          <w:tcPr>
            <w:tcW w:w="3902" w:type="dxa"/>
          </w:tcPr>
          <w:p w14:paraId="5F2DD30B">
            <w:pPr>
              <w:spacing w:after="1" w:line="240" w:lineRule="atLeast"/>
              <w:jc w:val="center"/>
              <w:rPr>
                <w:rFonts w:ascii="Times New Roman" w:hAnsi="Times New Roman" w:cs="Times New Roman"/>
                <w:sz w:val="28"/>
              </w:rPr>
            </w:pPr>
            <w:r>
              <w:rPr>
                <w:rFonts w:ascii="Times New Roman" w:hAnsi="Times New Roman" w:cs="Times New Roman"/>
                <w:sz w:val="28"/>
              </w:rPr>
              <w:t>не более 150 000,00</w:t>
            </w:r>
          </w:p>
        </w:tc>
      </w:tr>
    </w:tbl>
    <w:p w14:paraId="4A2B10BE">
      <w:pPr>
        <w:widowControl w:val="0"/>
        <w:autoSpaceDE w:val="0"/>
        <w:autoSpaceDN w:val="0"/>
        <w:spacing w:after="0" w:line="360" w:lineRule="auto"/>
        <w:ind w:firstLine="709"/>
        <w:jc w:val="both"/>
        <w:rPr>
          <w:rFonts w:ascii="Times New Roman" w:hAnsi="Times New Roman" w:eastAsia="Times New Roman" w:cs="Times New Roman"/>
          <w:sz w:val="28"/>
          <w:szCs w:val="28"/>
          <w:lang w:eastAsia="ru-RU"/>
        </w:rPr>
      </w:pPr>
    </w:p>
    <w:p w14:paraId="712E23FC">
      <w:pPr>
        <w:widowControl w:val="0"/>
        <w:pBdr>
          <w:bottom w:val="single" w:color="auto" w:sz="12" w:space="1"/>
        </w:pBdr>
        <w:autoSpaceDE w:val="0"/>
        <w:autoSpaceDN w:val="0"/>
        <w:spacing w:after="0" w:line="36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21. Количество и наименование приобретаемого товара, выполняемых работ, оказываемых услуг для министерства промышленности, предпринимательства и торговли Кировской области (включая подведомственное К</w:t>
      </w:r>
      <w:r>
        <w:rPr>
          <w:rFonts w:ascii="Times New Roman" w:hAnsi="Times New Roman" w:cs="Times New Roman"/>
          <w:sz w:val="28"/>
          <w:szCs w:val="28"/>
        </w:rPr>
        <w:t>ировское областное государственное казенное учреждение «Агентство инвестиционного развития Кировской области»</w:t>
      </w:r>
      <w:r>
        <w:rPr>
          <w:rFonts w:ascii="Times New Roman" w:hAnsi="Times New Roman" w:eastAsia="Times New Roman" w:cs="Times New Roman"/>
          <w:sz w:val="28"/>
          <w:szCs w:val="28"/>
          <w:lang w:eastAsia="ru-RU"/>
        </w:rPr>
        <w:t>) может отличаться от установленного настоящими нормативными затратами в зависимости от решаемых задач. При этом закупка не указанных в настоящих нормативных затратах товаров, работ, услуг осуществляется в пределах доведенных лимитов бюджетных обязательств на обеспечение функций министерства промышленности, предпринимательства и торговли Кировской области (включая подведомственное К</w:t>
      </w:r>
      <w:r>
        <w:rPr>
          <w:rFonts w:ascii="Times New Roman" w:hAnsi="Times New Roman" w:cs="Times New Roman"/>
          <w:sz w:val="28"/>
          <w:szCs w:val="28"/>
        </w:rPr>
        <w:t>ировское областное государственное казенное учреждение «Агентство инвестиционного развития Кировской области»</w:t>
      </w:r>
      <w:r>
        <w:rPr>
          <w:rFonts w:ascii="Times New Roman" w:hAnsi="Times New Roman" w:eastAsia="Times New Roman" w:cs="Times New Roman"/>
          <w:sz w:val="28"/>
          <w:szCs w:val="28"/>
          <w:lang w:eastAsia="ru-RU"/>
        </w:rPr>
        <w:t>).</w:t>
      </w:r>
    </w:p>
    <w:p w14:paraId="605563AB">
      <w:pPr>
        <w:widowControl w:val="0"/>
        <w:pBdr>
          <w:bottom w:val="single" w:color="auto" w:sz="12" w:space="1"/>
        </w:pBdr>
        <w:autoSpaceDE w:val="0"/>
        <w:autoSpaceDN w:val="0"/>
        <w:spacing w:after="0" w:line="36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22. Нормы продовольственного обеспечения военнослужащих, проходящих военную службу по контракту в МЧС России, сотрудников федеральной противопожарной службы государственной противопожарной службы, федеральных государственных гражданских служащих и работников МЧС России, имеющих право на продовольственное обеспечение в период несения дежурства, участия в полевых учениях, проведения аварийно-спасательных и других неотложных работ, нахождения в служебных командировках на территориях иностранных государств для ликвидации последствий стихийных бедствий и чрезвычайных ситуаций (Норма №3) в соответствии с Приказом  министерства Российской Федерации по делам гражданской обороны, чрезвычайным ситуациям и ликвидации последствий стихийных бедствий от 29.04.2013 №290.</w:t>
      </w:r>
    </w:p>
    <w:p w14:paraId="33B3A4CD">
      <w:pPr>
        <w:widowControl w:val="0"/>
        <w:pBdr>
          <w:bottom w:val="single" w:color="auto" w:sz="12" w:space="1"/>
        </w:pBdr>
        <w:autoSpaceDE w:val="0"/>
        <w:autoSpaceDN w:val="0"/>
        <w:spacing w:after="0" w:line="36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Затраты на покупку сухих (суточных) пайков, утвержденных приказом МЧС России от 29.04.2013 №290 (норма №3) определяются по формуле:</w:t>
      </w:r>
    </w:p>
    <w:p w14:paraId="41C72A3E">
      <w:pPr>
        <w:widowControl w:val="0"/>
        <w:pBdr>
          <w:bottom w:val="single" w:color="auto" w:sz="12" w:space="1"/>
        </w:pBdr>
        <w:autoSpaceDE w:val="0"/>
        <w:autoSpaceDN w:val="0"/>
        <w:spacing w:after="0" w:line="360" w:lineRule="auto"/>
        <w:ind w:firstLine="709"/>
        <w:jc w:val="both"/>
        <w:rPr>
          <w:rFonts w:ascii="Times New Roman" w:hAnsi="Times New Roman" w:cs="Times New Roman"/>
          <w:color w:val="000000"/>
          <w:sz w:val="28"/>
          <w:szCs w:val="28"/>
        </w:rPr>
      </w:pPr>
      <w:r>
        <w:rPr>
          <w:rFonts w:ascii="Times New Roman" w:hAnsi="Times New Roman" w:eastAsia="Times New Roman" w:cs="Times New Roman"/>
          <w:sz w:val="28"/>
          <w:szCs w:val="28"/>
          <w:lang w:eastAsia="ru-RU"/>
        </w:rPr>
        <w:t xml:space="preserve"> </w:t>
      </w:r>
      <w:r>
        <w:rPr>
          <w:rFonts w:ascii="Times New Roman" w:hAnsi="Times New Roman" w:cs="Times New Roman"/>
          <w:color w:val="000000"/>
          <w:sz w:val="28"/>
          <w:szCs w:val="28"/>
        </w:rPr>
        <w:t xml:space="preserve">Зсп = </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сп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сп, где</w:t>
      </w:r>
    </w:p>
    <w:p w14:paraId="02D01E3C">
      <w:pPr>
        <w:widowControl w:val="0"/>
        <w:pBdr>
          <w:bottom w:val="single" w:color="auto" w:sz="12" w:space="1"/>
        </w:pBdr>
        <w:autoSpaceDE w:val="0"/>
        <w:autoSpaceDN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сп - количество закупаемых сухих (суточных) пайков;</w:t>
      </w:r>
    </w:p>
    <w:p w14:paraId="512F0FFD">
      <w:pPr>
        <w:widowControl w:val="0"/>
        <w:pBdr>
          <w:bottom w:val="single" w:color="auto" w:sz="12" w:space="1"/>
        </w:pBdr>
        <w:autoSpaceDE w:val="0"/>
        <w:autoSpaceDN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Рсп – цена сухого (суточного) пайка.</w:t>
      </w:r>
    </w:p>
    <w:p w14:paraId="235AA294">
      <w:pPr>
        <w:widowControl w:val="0"/>
        <w:pBdr>
          <w:bottom w:val="single" w:color="auto" w:sz="12" w:space="1"/>
        </w:pBdr>
        <w:autoSpaceDE w:val="0"/>
        <w:autoSpaceDN w:val="0"/>
        <w:spacing w:after="0" w:line="360" w:lineRule="auto"/>
        <w:ind w:firstLine="709"/>
        <w:jc w:val="both"/>
        <w:rPr>
          <w:rFonts w:ascii="Times New Roman" w:hAnsi="Times New Roman" w:cs="Times New Roman"/>
          <w:color w:val="000000"/>
          <w:sz w:val="28"/>
          <w:szCs w:val="28"/>
        </w:rPr>
      </w:pPr>
    </w:p>
    <w:p w14:paraId="4444B1E2">
      <w:pPr>
        <w:widowControl w:val="0"/>
        <w:pBdr>
          <w:bottom w:val="single" w:color="auto" w:sz="12" w:space="1"/>
        </w:pBdr>
        <w:autoSpaceDE w:val="0"/>
        <w:autoSpaceDN w:val="0"/>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Расчет затрат на покупку сухих (суточных) пайков, </w:t>
      </w:r>
      <w:r>
        <w:rPr>
          <w:rFonts w:ascii="Times New Roman" w:hAnsi="Times New Roman" w:eastAsia="Times New Roman" w:cs="Times New Roman"/>
          <w:sz w:val="28"/>
          <w:szCs w:val="28"/>
          <w:lang w:eastAsia="ru-RU"/>
        </w:rPr>
        <w:t>утвержденных приказом МЧС России от 29.04.2013 №290 (норма №3) п</w:t>
      </w:r>
      <w:r>
        <w:rPr>
          <w:rFonts w:ascii="Times New Roman" w:hAnsi="Times New Roman" w:cs="Times New Roman"/>
          <w:color w:val="000000"/>
          <w:sz w:val="28"/>
          <w:szCs w:val="28"/>
        </w:rPr>
        <w:t>роизводится в соответствии с нормативами согласно таблице № 39.1</w:t>
      </w:r>
    </w:p>
    <w:p w14:paraId="23BAEE7F">
      <w:pPr>
        <w:widowControl w:val="0"/>
        <w:pBdr>
          <w:bottom w:val="single" w:color="auto" w:sz="12" w:space="1"/>
        </w:pBdr>
        <w:autoSpaceDE w:val="0"/>
        <w:autoSpaceDN w:val="0"/>
        <w:spacing w:after="0" w:line="360" w:lineRule="auto"/>
        <w:jc w:val="both"/>
        <w:rPr>
          <w:rFonts w:ascii="Times New Roman" w:hAnsi="Times New Roman" w:cs="Times New Roman"/>
          <w:color w:val="000000"/>
          <w:sz w:val="28"/>
          <w:szCs w:val="28"/>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70"/>
        <w:gridCol w:w="4871"/>
      </w:tblGrid>
      <w:tr w14:paraId="2B61A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0" w:type="dxa"/>
          </w:tcPr>
          <w:p w14:paraId="1B65B3FE">
            <w:pPr>
              <w:widowControl w:val="0"/>
              <w:autoSpaceDE w:val="0"/>
              <w:autoSpaceDN w:val="0"/>
              <w:spacing w:after="0" w:line="276"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Индивидуальный сухой паёк (суточный), утвержденный приказом МЧС России от 29.04.2013 №290 (норма №3), штука</w:t>
            </w:r>
          </w:p>
        </w:tc>
        <w:tc>
          <w:tcPr>
            <w:tcW w:w="4871" w:type="dxa"/>
          </w:tcPr>
          <w:p w14:paraId="27B6D04C">
            <w:pPr>
              <w:widowControl w:val="0"/>
              <w:autoSpaceDE w:val="0"/>
              <w:autoSpaceDN w:val="0"/>
              <w:spacing w:after="0"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цена за единицу индивидуального сухого пайка (суточный), утвержденный приказом МЧС России от 29.04.2013 №290 (норма №3), рублей</w:t>
            </w:r>
          </w:p>
        </w:tc>
      </w:tr>
      <w:tr w14:paraId="3AA15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0" w:type="dxa"/>
          </w:tcPr>
          <w:p w14:paraId="5DA41988">
            <w:pPr>
              <w:widowControl w:val="0"/>
              <w:autoSpaceDE w:val="0"/>
              <w:autoSpaceDN w:val="0"/>
              <w:spacing w:after="0" w:line="276"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менее 300</w:t>
            </w:r>
          </w:p>
        </w:tc>
        <w:tc>
          <w:tcPr>
            <w:tcW w:w="4871" w:type="dxa"/>
          </w:tcPr>
          <w:p w14:paraId="7B74605A">
            <w:pPr>
              <w:widowControl w:val="0"/>
              <w:autoSpaceDE w:val="0"/>
              <w:autoSpaceDN w:val="0"/>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1 200,00</w:t>
            </w:r>
          </w:p>
        </w:tc>
      </w:tr>
    </w:tbl>
    <w:p w14:paraId="57EA3BD6">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Количество сухпайков может быть изменено. При этом закупка осуществляется в пределах доведенных лимитов бюджетных обязательств на обеспечение функций министерства.</w:t>
      </w:r>
    </w:p>
    <w:p w14:paraId="4F9FC669">
      <w:pPr>
        <w:widowControl w:val="0"/>
        <w:pBdr>
          <w:bottom w:val="single" w:color="auto" w:sz="12" w:space="1"/>
        </w:pBdr>
        <w:autoSpaceDE w:val="0"/>
        <w:autoSpaceDN w:val="0"/>
        <w:spacing w:after="0" w:line="360" w:lineRule="auto"/>
        <w:jc w:val="both"/>
        <w:rPr>
          <w:rFonts w:ascii="Times New Roman" w:hAnsi="Times New Roman" w:cs="Times New Roman"/>
          <w:color w:val="000000"/>
          <w:sz w:val="28"/>
          <w:szCs w:val="28"/>
        </w:rPr>
      </w:pPr>
    </w:p>
    <w:p w14:paraId="1C284C7B">
      <w:pPr>
        <w:rPr>
          <w:rFonts w:ascii="XO Thames" w:hAnsi="XO Thames"/>
          <w:color w:val="000000"/>
          <w:sz w:val="24"/>
          <w:szCs w:val="20"/>
        </w:rPr>
      </w:pPr>
      <w:r>
        <w:rPr>
          <w:rFonts w:ascii="XO Thames" w:hAnsi="XO Thames"/>
          <w:color w:val="000000"/>
          <w:sz w:val="24"/>
          <w:szCs w:val="20"/>
        </w:rPr>
        <w:t xml:space="preserve">  </w:t>
      </w:r>
    </w:p>
    <w:p w14:paraId="71F290BE">
      <w:pPr>
        <w:rPr>
          <w:rFonts w:ascii="Times New Roman" w:hAnsi="Times New Roman" w:cs="Times New Roman"/>
          <w:color w:val="000000"/>
          <w:sz w:val="28"/>
          <w:szCs w:val="28"/>
        </w:rPr>
      </w:pPr>
      <w:r>
        <w:rPr>
          <w:rFonts w:ascii="Times New Roman" w:hAnsi="Times New Roman" w:cs="Times New Roman"/>
          <w:color w:val="000000"/>
          <w:sz w:val="28"/>
          <w:szCs w:val="28"/>
        </w:rPr>
        <w:t>23. Затраты на оплату услуг по созданию инвестиционного портала (Зп) агентства определяются по формуле:</w:t>
      </w:r>
    </w:p>
    <w:p w14:paraId="68BC2404">
      <w:pPr>
        <w:rPr>
          <w:rFonts w:ascii="Times New Roman" w:hAnsi="Times New Roman" w:cs="Times New Roman"/>
          <w:color w:val="000000"/>
          <w:sz w:val="28"/>
          <w:szCs w:val="28"/>
        </w:rPr>
      </w:pPr>
      <w:r>
        <w:rPr>
          <w:rFonts w:ascii="Times New Roman" w:hAnsi="Times New Roman" w:cs="Times New Roman"/>
          <w:color w:val="000000"/>
          <w:sz w:val="28"/>
          <w:szCs w:val="28"/>
        </w:rPr>
        <w:t xml:space="preserve">Зп = </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п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п, где</w:t>
      </w:r>
    </w:p>
    <w:p w14:paraId="43A16842">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п – количество услуг по созданию инвестиционного портала агентства</w:t>
      </w:r>
    </w:p>
    <w:p w14:paraId="3EF50589">
      <w:pPr>
        <w:rPr>
          <w:rFonts w:ascii="Times New Roman" w:hAnsi="Times New Roman" w:cs="Times New Roman"/>
          <w:color w:val="000000"/>
          <w:sz w:val="28"/>
          <w:szCs w:val="28"/>
        </w:rPr>
      </w:pPr>
      <w:r>
        <w:rPr>
          <w:rFonts w:ascii="Times New Roman" w:hAnsi="Times New Roman" w:cs="Times New Roman"/>
          <w:color w:val="000000"/>
          <w:sz w:val="28"/>
          <w:szCs w:val="28"/>
        </w:rPr>
        <w:t>Рп – цена предоставления услуг по созданию инвестиционного портала агентства.</w:t>
      </w:r>
    </w:p>
    <w:p w14:paraId="72F1A083">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создание инвестиционного портала производится в соответствии с нормативами согласно таблице № 40.</w:t>
      </w:r>
    </w:p>
    <w:p w14:paraId="0D576768">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Таблица №40.</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70"/>
        <w:gridCol w:w="4871"/>
      </w:tblGrid>
      <w:tr w14:paraId="00A2E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0" w:type="dxa"/>
          </w:tcPr>
          <w:p w14:paraId="0D0D8442">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по созданию инвестиционного портала агентства в год</w:t>
            </w:r>
          </w:p>
        </w:tc>
        <w:tc>
          <w:tcPr>
            <w:tcW w:w="4871" w:type="dxa"/>
          </w:tcPr>
          <w:p w14:paraId="5A977CFD">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предоставления услуги по созданию инвестиционного портала агентства, рублей</w:t>
            </w:r>
          </w:p>
        </w:tc>
      </w:tr>
      <w:tr w14:paraId="18668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0" w:type="dxa"/>
          </w:tcPr>
          <w:p w14:paraId="053BDA0F">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64291DBB">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5 000 000,00</w:t>
            </w:r>
          </w:p>
        </w:tc>
      </w:tr>
    </w:tbl>
    <w:p w14:paraId="51DC08D4">
      <w:pPr>
        <w:jc w:val="center"/>
        <w:rPr>
          <w:rFonts w:ascii="Times New Roman" w:hAnsi="Times New Roman" w:cs="Times New Roman"/>
          <w:color w:val="000000"/>
          <w:sz w:val="28"/>
          <w:szCs w:val="28"/>
        </w:rPr>
      </w:pPr>
    </w:p>
    <w:p w14:paraId="03A139D7">
      <w:pPr>
        <w:rPr>
          <w:rFonts w:ascii="Times New Roman" w:hAnsi="Times New Roman" w:cs="Times New Roman"/>
          <w:color w:val="000000"/>
          <w:sz w:val="28"/>
          <w:szCs w:val="28"/>
        </w:rPr>
      </w:pPr>
      <w:r>
        <w:rPr>
          <w:rFonts w:ascii="Times New Roman" w:hAnsi="Times New Roman" w:cs="Times New Roman"/>
          <w:color w:val="000000"/>
          <w:sz w:val="28"/>
          <w:szCs w:val="28"/>
        </w:rPr>
        <w:t>24. Затраты на оплату услуг технического задания на создание инвестиционного портала агентства и его сопровождение (Зтзс) определяются по формуле:</w:t>
      </w:r>
    </w:p>
    <w:p w14:paraId="7715E3A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Зтзс= </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тзс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тзс, где</w:t>
      </w:r>
    </w:p>
    <w:p w14:paraId="13BF9713">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тзс - количество услуг технического задания на создание инвестиционного портала агентства и его сопровождение;</w:t>
      </w:r>
    </w:p>
    <w:p w14:paraId="2EAD7DFD">
      <w:pPr>
        <w:rPr>
          <w:rFonts w:ascii="Times New Roman" w:hAnsi="Times New Roman" w:cs="Times New Roman"/>
          <w:color w:val="000000"/>
          <w:sz w:val="28"/>
          <w:szCs w:val="28"/>
        </w:rPr>
      </w:pPr>
      <w:r>
        <w:rPr>
          <w:rFonts w:ascii="Times New Roman" w:hAnsi="Times New Roman" w:cs="Times New Roman"/>
          <w:color w:val="000000"/>
          <w:sz w:val="28"/>
          <w:szCs w:val="28"/>
        </w:rPr>
        <w:t>Ртзс – цена предоставления услуг технического задания на создание инвестиционного портала агентства и его сопровождение.</w:t>
      </w:r>
    </w:p>
    <w:p w14:paraId="1AD50BE2">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технического задания на создание инвестиционного портала агентства производится в соответствии с нормативами согласно таблице №41.</w:t>
      </w:r>
    </w:p>
    <w:p w14:paraId="7263F6CC">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Таблица № 41.</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70"/>
        <w:gridCol w:w="4871"/>
      </w:tblGrid>
      <w:tr w14:paraId="1729D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870" w:type="dxa"/>
          </w:tcPr>
          <w:p w14:paraId="25506443">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технического задания на создание инвестиционного портала агентства в год</w:t>
            </w:r>
          </w:p>
        </w:tc>
        <w:tc>
          <w:tcPr>
            <w:tcW w:w="4871" w:type="dxa"/>
          </w:tcPr>
          <w:p w14:paraId="18232407">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Цена предоставления технического задания на создание инвестиционного портала агентства, рублей </w:t>
            </w:r>
          </w:p>
        </w:tc>
      </w:tr>
      <w:tr w14:paraId="766D5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870" w:type="dxa"/>
          </w:tcPr>
          <w:p w14:paraId="3A4A5A67">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517AFDF4">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300 000,00</w:t>
            </w:r>
          </w:p>
        </w:tc>
      </w:tr>
    </w:tbl>
    <w:p w14:paraId="5E7BB123">
      <w:pPr>
        <w:rPr>
          <w:rFonts w:ascii="Times New Roman" w:hAnsi="Times New Roman" w:cs="Times New Roman"/>
          <w:color w:val="000000"/>
          <w:sz w:val="28"/>
          <w:szCs w:val="28"/>
        </w:rPr>
      </w:pPr>
    </w:p>
    <w:p w14:paraId="14A2D3D7">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сопровождение инвестиционного портала агентства производится в соответствии с нормативами согласно таблице №42.</w:t>
      </w:r>
    </w:p>
    <w:p w14:paraId="1C3B4354">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Таблица №42.</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70"/>
        <w:gridCol w:w="4871"/>
      </w:tblGrid>
      <w:tr w14:paraId="20ECF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0" w:type="dxa"/>
          </w:tcPr>
          <w:p w14:paraId="1D3FF7D7">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по сопровождению инвестиционного портала агентства в год</w:t>
            </w:r>
          </w:p>
        </w:tc>
        <w:tc>
          <w:tcPr>
            <w:tcW w:w="4871" w:type="dxa"/>
          </w:tcPr>
          <w:p w14:paraId="3A13B3FE">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за сопровождение инвестиционного портала агентства, рублей</w:t>
            </w:r>
          </w:p>
        </w:tc>
      </w:tr>
      <w:tr w14:paraId="29FBD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0" w:type="dxa"/>
          </w:tcPr>
          <w:p w14:paraId="3EA5634B">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69DEF8CE">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300 000,00</w:t>
            </w:r>
          </w:p>
        </w:tc>
      </w:tr>
    </w:tbl>
    <w:p w14:paraId="21C55AEB">
      <w:pPr>
        <w:rPr>
          <w:rFonts w:ascii="Times New Roman" w:hAnsi="Times New Roman" w:cs="Times New Roman"/>
          <w:color w:val="000000"/>
          <w:sz w:val="28"/>
          <w:szCs w:val="28"/>
        </w:rPr>
      </w:pPr>
    </w:p>
    <w:p w14:paraId="195BE3B6">
      <w:pPr>
        <w:rPr>
          <w:rFonts w:ascii="Times New Roman" w:hAnsi="Times New Roman" w:cs="Times New Roman"/>
          <w:color w:val="000000"/>
          <w:sz w:val="28"/>
          <w:szCs w:val="28"/>
        </w:rPr>
      </w:pPr>
      <w:r>
        <w:rPr>
          <w:rFonts w:ascii="Times New Roman" w:hAnsi="Times New Roman" w:cs="Times New Roman"/>
          <w:color w:val="000000"/>
          <w:sz w:val="28"/>
          <w:szCs w:val="28"/>
        </w:rPr>
        <w:t>25. Затраты на оплату услуг по созданию инвестиционной карты агентства (Зк) определяются по формуле:</w:t>
      </w:r>
    </w:p>
    <w:p w14:paraId="6939575B">
      <w:pPr>
        <w:rPr>
          <w:rFonts w:ascii="Times New Roman" w:hAnsi="Times New Roman" w:cs="Times New Roman"/>
          <w:color w:val="000000"/>
          <w:sz w:val="28"/>
          <w:szCs w:val="28"/>
        </w:rPr>
      </w:pPr>
      <w:r>
        <w:rPr>
          <w:rFonts w:ascii="Times New Roman" w:hAnsi="Times New Roman" w:cs="Times New Roman"/>
          <w:color w:val="000000"/>
          <w:sz w:val="28"/>
          <w:szCs w:val="28"/>
        </w:rPr>
        <w:t xml:space="preserve">Зк= </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к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Рк, где</w:t>
      </w:r>
    </w:p>
    <w:p w14:paraId="43DC8744">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к – количество услуг по созданию инвестиционной карты агентства;</w:t>
      </w:r>
    </w:p>
    <w:p w14:paraId="51D1094A">
      <w:pPr>
        <w:rPr>
          <w:rFonts w:ascii="Times New Roman" w:hAnsi="Times New Roman" w:cs="Times New Roman"/>
          <w:color w:val="000000"/>
          <w:sz w:val="28"/>
          <w:szCs w:val="28"/>
        </w:rPr>
      </w:pPr>
      <w:r>
        <w:rPr>
          <w:rFonts w:ascii="Times New Roman" w:hAnsi="Times New Roman" w:cs="Times New Roman"/>
          <w:color w:val="000000"/>
          <w:sz w:val="28"/>
          <w:szCs w:val="28"/>
        </w:rPr>
        <w:t>Рк – цена предоставления услуг по созданию инвестиционной карты агентства.</w:t>
      </w:r>
    </w:p>
    <w:p w14:paraId="4ACE1CFD">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создание инвестиционной карты производится в соответствии с нормативами согласно таблице №43.</w:t>
      </w:r>
    </w:p>
    <w:p w14:paraId="5694E113">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Таблица №43.</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70"/>
        <w:gridCol w:w="4871"/>
      </w:tblGrid>
      <w:tr w14:paraId="754D0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0" w:type="dxa"/>
          </w:tcPr>
          <w:p w14:paraId="590A0319">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по созданию инвестиционной карты агентства в год</w:t>
            </w:r>
          </w:p>
        </w:tc>
        <w:tc>
          <w:tcPr>
            <w:tcW w:w="4871" w:type="dxa"/>
          </w:tcPr>
          <w:p w14:paraId="7025CD97">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предоставления услуги по созданию инвестиционной карты агентства, рублей</w:t>
            </w:r>
          </w:p>
        </w:tc>
      </w:tr>
      <w:tr w14:paraId="09BDB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0" w:type="dxa"/>
          </w:tcPr>
          <w:p w14:paraId="284CB606">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21EFDB53">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5 000 000,00</w:t>
            </w:r>
          </w:p>
        </w:tc>
      </w:tr>
    </w:tbl>
    <w:p w14:paraId="4C50348F">
      <w:pPr>
        <w:rPr>
          <w:rFonts w:ascii="Times New Roman" w:hAnsi="Times New Roman" w:cs="Times New Roman"/>
          <w:color w:val="000000"/>
          <w:sz w:val="28"/>
          <w:szCs w:val="28"/>
        </w:rPr>
      </w:pPr>
    </w:p>
    <w:p w14:paraId="2F7B9547">
      <w:pPr>
        <w:rPr>
          <w:rFonts w:ascii="Times New Roman" w:hAnsi="Times New Roman" w:cs="Times New Roman"/>
          <w:color w:val="000000"/>
          <w:sz w:val="28"/>
          <w:szCs w:val="28"/>
        </w:rPr>
      </w:pPr>
      <w:r>
        <w:rPr>
          <w:rFonts w:ascii="Times New Roman" w:hAnsi="Times New Roman" w:cs="Times New Roman"/>
          <w:color w:val="000000"/>
          <w:sz w:val="28"/>
          <w:szCs w:val="28"/>
        </w:rPr>
        <w:t>26. Затраты на оплату услуг технического задания на создание инвестиционной карты агентства и её сопровождение (Зтзк) определяются по формуле:</w:t>
      </w:r>
    </w:p>
    <w:p w14:paraId="07F16BBB">
      <w:pPr>
        <w:rPr>
          <w:rFonts w:ascii="Times New Roman" w:hAnsi="Times New Roman" w:cs="Times New Roman"/>
          <w:color w:val="000000"/>
          <w:sz w:val="28"/>
          <w:szCs w:val="28"/>
        </w:rPr>
      </w:pPr>
      <w:r>
        <w:rPr>
          <w:rFonts w:ascii="Times New Roman" w:hAnsi="Times New Roman" w:cs="Times New Roman"/>
          <w:color w:val="000000"/>
          <w:sz w:val="28"/>
          <w:szCs w:val="28"/>
        </w:rPr>
        <w:t xml:space="preserve">Зтзс= </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тзс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тзс, где</w:t>
      </w:r>
    </w:p>
    <w:p w14:paraId="53BEA2F9">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тзс - количество услуг технического задания на создание инвестиционной карты агентства и её сопровождение;</w:t>
      </w:r>
    </w:p>
    <w:p w14:paraId="537F1395">
      <w:pPr>
        <w:rPr>
          <w:rFonts w:ascii="Times New Roman" w:hAnsi="Times New Roman" w:cs="Times New Roman"/>
          <w:color w:val="000000"/>
          <w:sz w:val="28"/>
          <w:szCs w:val="28"/>
        </w:rPr>
      </w:pPr>
      <w:r>
        <w:rPr>
          <w:rFonts w:ascii="Times New Roman" w:hAnsi="Times New Roman" w:cs="Times New Roman"/>
          <w:color w:val="000000"/>
          <w:sz w:val="28"/>
          <w:szCs w:val="28"/>
        </w:rPr>
        <w:t>Ртзс – цена предоставления услуг технического задания на создание инвестиционной карты агентства и её сопровождение.</w:t>
      </w:r>
    </w:p>
    <w:p w14:paraId="2D41CEEF">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технического задания на создание инвестиционной карты агентства производится в соответствии с нормативами согласно таблице №44.</w:t>
      </w:r>
    </w:p>
    <w:p w14:paraId="2D57137C">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Таблица №44.</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70"/>
        <w:gridCol w:w="4871"/>
      </w:tblGrid>
      <w:tr w14:paraId="0B7BD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0" w:type="dxa"/>
          </w:tcPr>
          <w:p w14:paraId="581BD388">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технического задания на создание инвестиционной карты агентства в год</w:t>
            </w:r>
          </w:p>
        </w:tc>
        <w:tc>
          <w:tcPr>
            <w:tcW w:w="4871" w:type="dxa"/>
          </w:tcPr>
          <w:p w14:paraId="3E8EE88A">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предоставления технического задания на создание инвестиционной карты агентства, рублей</w:t>
            </w:r>
          </w:p>
        </w:tc>
      </w:tr>
      <w:tr w14:paraId="2C290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0" w:type="dxa"/>
          </w:tcPr>
          <w:p w14:paraId="28287228">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32B02FDD">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300 000,00</w:t>
            </w:r>
          </w:p>
        </w:tc>
      </w:tr>
    </w:tbl>
    <w:p w14:paraId="3B1DEFBF">
      <w:pPr>
        <w:rPr>
          <w:rFonts w:ascii="Times New Roman" w:hAnsi="Times New Roman" w:cs="Times New Roman"/>
          <w:color w:val="000000"/>
          <w:sz w:val="28"/>
          <w:szCs w:val="28"/>
        </w:rPr>
      </w:pPr>
    </w:p>
    <w:p w14:paraId="42B575B7">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сопровождение инвестиционной карты агентства производится в соответствии с нормативами согласно таблице №45.</w:t>
      </w:r>
    </w:p>
    <w:p w14:paraId="10491CD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Таблица №45.</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70"/>
        <w:gridCol w:w="4871"/>
      </w:tblGrid>
      <w:tr w14:paraId="05BF3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0" w:type="dxa"/>
          </w:tcPr>
          <w:p w14:paraId="56B52922">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по сопровождению инвестиционной карты агентства в год</w:t>
            </w:r>
          </w:p>
        </w:tc>
        <w:tc>
          <w:tcPr>
            <w:tcW w:w="4871" w:type="dxa"/>
          </w:tcPr>
          <w:p w14:paraId="7EF7DBFC">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за сопровождение инвестиционной карты агентства, рублей</w:t>
            </w:r>
          </w:p>
        </w:tc>
      </w:tr>
      <w:tr w14:paraId="1BA26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0" w:type="dxa"/>
          </w:tcPr>
          <w:p w14:paraId="1475288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6D9F8446">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300 000,00</w:t>
            </w:r>
          </w:p>
        </w:tc>
      </w:tr>
    </w:tbl>
    <w:p w14:paraId="3589D2BF">
      <w:pPr>
        <w:jc w:val="center"/>
        <w:rPr>
          <w:rFonts w:ascii="Times New Roman" w:hAnsi="Times New Roman" w:cs="Times New Roman"/>
          <w:color w:val="000000"/>
          <w:sz w:val="28"/>
          <w:szCs w:val="28"/>
        </w:rPr>
      </w:pPr>
    </w:p>
    <w:p w14:paraId="39394C91">
      <w:pPr>
        <w:rPr>
          <w:rFonts w:ascii="Times New Roman" w:hAnsi="Times New Roman" w:cs="Times New Roman"/>
          <w:color w:val="000000"/>
          <w:sz w:val="24"/>
          <w:szCs w:val="20"/>
        </w:rPr>
      </w:pPr>
    </w:p>
    <w:p w14:paraId="07F356C7">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27. Нормативы, применяемые при расчете нормативных затрат на оплату услуг по утилизации оборудования (компьютерной техники) определяются по формуле:</w:t>
      </w:r>
    </w:p>
    <w:p w14:paraId="053FC625">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Зу=</w:t>
      </w:r>
      <w:r>
        <w:rPr>
          <w:rFonts w:ascii="Times New Roman" w:hAnsi="Times New Roman" w:cs="Times New Roman"/>
          <w:sz w:val="28"/>
          <w:szCs w:val="28"/>
          <w:lang w:val="en-US"/>
        </w:rPr>
        <w:t>Q</w:t>
      </w:r>
      <w:r>
        <w:rPr>
          <w:rFonts w:ascii="Times New Roman" w:hAnsi="Times New Roman" w:cs="Times New Roman"/>
          <w:sz w:val="28"/>
          <w:szCs w:val="28"/>
        </w:rPr>
        <w:t xml:space="preserve">у </w:t>
      </w:r>
      <w:r>
        <w:rPr>
          <w:rFonts w:ascii="Times New Roman" w:hAnsi="Times New Roman" w:cs="Times New Roman"/>
          <w:sz w:val="28"/>
          <w:szCs w:val="28"/>
          <w:lang w:val="en-US"/>
        </w:rPr>
        <w:t>x</w:t>
      </w:r>
      <w:r>
        <w:rPr>
          <w:rFonts w:ascii="Times New Roman" w:hAnsi="Times New Roman" w:cs="Times New Roman"/>
          <w:sz w:val="28"/>
          <w:szCs w:val="28"/>
        </w:rPr>
        <w:t xml:space="preserve"> Ру, где </w:t>
      </w:r>
    </w:p>
    <w:p w14:paraId="6FD6AC52">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 xml:space="preserve">у – количество утилизированного оборудования, </w:t>
      </w:r>
    </w:p>
    <w:p w14:paraId="67C06CD7">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Ру – цена услуги по утилизации единицы (штуки) оборудования.</w:t>
      </w:r>
    </w:p>
    <w:p w14:paraId="7C4BC5A7">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таблицы №46.</w:t>
      </w:r>
    </w:p>
    <w:p w14:paraId="14CEBC49">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Таблица №46.                                                                                                           </w:t>
      </w:r>
    </w:p>
    <w:p w14:paraId="6F152656">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p>
    <w:p w14:paraId="7FA585BD">
      <w:pPr>
        <w:widowControl w:val="0"/>
        <w:autoSpaceDE w:val="0"/>
        <w:autoSpaceDN w:val="0"/>
        <w:spacing w:after="0" w:line="360" w:lineRule="auto"/>
        <w:rPr>
          <w:rFonts w:ascii="Times New Roman" w:hAnsi="Times New Roman" w:cs="Times New Roman"/>
          <w:sz w:val="28"/>
          <w:szCs w:val="28"/>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70"/>
        <w:gridCol w:w="4871"/>
      </w:tblGrid>
      <w:tr w14:paraId="178B7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0" w:type="dxa"/>
          </w:tcPr>
          <w:p w14:paraId="1A28C5B9">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Количество утилизированного оборудования (компьютерной техники), штук (единиц)</w:t>
            </w:r>
          </w:p>
        </w:tc>
        <w:tc>
          <w:tcPr>
            <w:tcW w:w="4871" w:type="dxa"/>
          </w:tcPr>
          <w:p w14:paraId="2935FF2F">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Цена услуги по утилизации оборудования (компьютерной техники), в рублях за единицу (штуку)</w:t>
            </w:r>
          </w:p>
        </w:tc>
      </w:tr>
      <w:tr w14:paraId="786AA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0" w:type="dxa"/>
          </w:tcPr>
          <w:p w14:paraId="5B943417">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не более 50 на министерство</w:t>
            </w:r>
          </w:p>
        </w:tc>
        <w:tc>
          <w:tcPr>
            <w:tcW w:w="4871" w:type="dxa"/>
          </w:tcPr>
          <w:p w14:paraId="5F9F2C12">
            <w:pPr>
              <w:widowControl w:val="0"/>
              <w:autoSpaceDE w:val="0"/>
              <w:autoSpaceDN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r w14:paraId="69CF8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0" w:type="dxa"/>
          </w:tcPr>
          <w:p w14:paraId="7EE1A22C">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не более 50 на учреждение</w:t>
            </w:r>
          </w:p>
        </w:tc>
        <w:tc>
          <w:tcPr>
            <w:tcW w:w="4871" w:type="dxa"/>
          </w:tcPr>
          <w:p w14:paraId="311766CC">
            <w:pPr>
              <w:widowControl w:val="0"/>
              <w:autoSpaceDE w:val="0"/>
              <w:autoSpaceDN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bl>
    <w:p w14:paraId="0A64271A">
      <w:pPr>
        <w:widowControl w:val="0"/>
        <w:autoSpaceDE w:val="0"/>
        <w:autoSpaceDN w:val="0"/>
        <w:spacing w:after="0" w:line="360" w:lineRule="auto"/>
        <w:rPr>
          <w:rFonts w:ascii="Times New Roman" w:hAnsi="Times New Roman" w:cs="Times New Roman"/>
          <w:sz w:val="28"/>
          <w:szCs w:val="28"/>
        </w:rPr>
      </w:pPr>
    </w:p>
    <w:p w14:paraId="0922C0F1">
      <w:pPr>
        <w:tabs>
          <w:tab w:val="left" w:pos="6795"/>
        </w:tabs>
        <w:rPr>
          <w:rFonts w:ascii="Times New Roman" w:hAnsi="Times New Roman" w:cs="Times New Roman"/>
          <w:sz w:val="28"/>
          <w:szCs w:val="28"/>
        </w:rPr>
      </w:pPr>
      <w:r>
        <w:rPr>
          <w:rFonts w:ascii="Times New Roman" w:hAnsi="Times New Roman" w:cs="Times New Roman"/>
          <w:sz w:val="28"/>
          <w:szCs w:val="28"/>
        </w:rPr>
        <w:t>28. Нормативы, применяемые при расчете нормативных затрат на оплату услуг по изготовлению макета.</w:t>
      </w:r>
    </w:p>
    <w:p w14:paraId="59983E32">
      <w:pPr>
        <w:tabs>
          <w:tab w:val="left" w:pos="6795"/>
        </w:tabs>
        <w:rPr>
          <w:rFonts w:ascii="Times New Roman" w:hAnsi="Times New Roman" w:cs="Times New Roman"/>
          <w:sz w:val="28"/>
          <w:szCs w:val="28"/>
        </w:rPr>
      </w:pPr>
      <w:r>
        <w:rPr>
          <w:rFonts w:ascii="Times New Roman" w:hAnsi="Times New Roman" w:cs="Times New Roman"/>
          <w:sz w:val="28"/>
          <w:szCs w:val="28"/>
        </w:rPr>
        <w:t>Зм=</w:t>
      </w:r>
      <w:r>
        <w:rPr>
          <w:rFonts w:ascii="Times New Roman" w:hAnsi="Times New Roman" w:cs="Times New Roman"/>
          <w:sz w:val="28"/>
          <w:szCs w:val="28"/>
          <w:lang w:val="en-US"/>
        </w:rPr>
        <w:t>Q</w:t>
      </w:r>
      <w:r>
        <w:rPr>
          <w:rFonts w:ascii="Times New Roman" w:hAnsi="Times New Roman" w:cs="Times New Roman"/>
          <w:sz w:val="28"/>
          <w:szCs w:val="28"/>
        </w:rPr>
        <w:t xml:space="preserve">м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м, где</w:t>
      </w:r>
    </w:p>
    <w:p w14:paraId="70EBB962">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м – количество услуг по изготовлению макета;</w:t>
      </w:r>
    </w:p>
    <w:p w14:paraId="4D9268A2">
      <w:pPr>
        <w:tabs>
          <w:tab w:val="left" w:pos="6795"/>
        </w:tabs>
        <w:rPr>
          <w:rFonts w:ascii="Times New Roman" w:hAnsi="Times New Roman" w:cs="Times New Roman"/>
          <w:sz w:val="28"/>
          <w:szCs w:val="28"/>
        </w:rPr>
      </w:pPr>
      <w:r>
        <w:rPr>
          <w:rFonts w:ascii="Times New Roman" w:hAnsi="Times New Roman" w:cs="Times New Roman"/>
          <w:sz w:val="28"/>
          <w:szCs w:val="28"/>
        </w:rPr>
        <w:t>Рм – цена предоставления услуг по изготовлению макета.</w:t>
      </w:r>
    </w:p>
    <w:p w14:paraId="2CF9EE4E">
      <w:pPr>
        <w:tabs>
          <w:tab w:val="left" w:pos="6795"/>
        </w:tabs>
        <w:rPr>
          <w:rFonts w:ascii="Times New Roman" w:hAnsi="Times New Roman" w:cs="Times New Roman"/>
          <w:sz w:val="28"/>
          <w:szCs w:val="28"/>
        </w:rPr>
      </w:pPr>
      <w:r>
        <w:rPr>
          <w:rFonts w:ascii="Times New Roman" w:hAnsi="Times New Roman" w:cs="Times New Roman"/>
          <w:sz w:val="28"/>
          <w:szCs w:val="28"/>
        </w:rPr>
        <w:t xml:space="preserve">Расчет затрат на изготовление макета производится в соответствии с нормативами согласно таблице №47. </w:t>
      </w:r>
    </w:p>
    <w:p w14:paraId="62270227">
      <w:pPr>
        <w:tabs>
          <w:tab w:val="left" w:pos="6795"/>
        </w:tabs>
        <w:rPr>
          <w:rFonts w:ascii="Times New Roman" w:hAnsi="Times New Roman" w:cs="Times New Roman"/>
          <w:sz w:val="28"/>
          <w:szCs w:val="28"/>
        </w:rPr>
      </w:pPr>
      <w:r>
        <w:rPr>
          <w:rFonts w:ascii="Times New Roman" w:hAnsi="Times New Roman" w:cs="Times New Roman"/>
          <w:sz w:val="28"/>
          <w:szCs w:val="28"/>
        </w:rPr>
        <w:t xml:space="preserve">                                                                                                                   Таблица №47.</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70"/>
        <w:gridCol w:w="4871"/>
      </w:tblGrid>
      <w:tr w14:paraId="43912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870" w:type="dxa"/>
          </w:tcPr>
          <w:p w14:paraId="16077404">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услуг по изготовлению макета в год</w:t>
            </w:r>
          </w:p>
        </w:tc>
        <w:tc>
          <w:tcPr>
            <w:tcW w:w="4871" w:type="dxa"/>
          </w:tcPr>
          <w:p w14:paraId="36FA837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Цена предоставления услуги по изготовлению макета, рублей</w:t>
            </w:r>
          </w:p>
        </w:tc>
      </w:tr>
      <w:tr w14:paraId="102A0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0" w:type="dxa"/>
          </w:tcPr>
          <w:p w14:paraId="335918BC">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4871" w:type="dxa"/>
          </w:tcPr>
          <w:p w14:paraId="7C16C254">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1 500 000,00</w:t>
            </w:r>
          </w:p>
        </w:tc>
      </w:tr>
    </w:tbl>
    <w:p w14:paraId="1BBFE02A">
      <w:pPr>
        <w:tabs>
          <w:tab w:val="left" w:pos="6795"/>
        </w:tabs>
        <w:jc w:val="right"/>
        <w:rPr>
          <w:rFonts w:ascii="Times New Roman" w:hAnsi="Times New Roman" w:cs="Times New Roman"/>
          <w:sz w:val="28"/>
          <w:szCs w:val="28"/>
        </w:rPr>
      </w:pPr>
    </w:p>
    <w:p w14:paraId="5CCE58E7">
      <w:pPr>
        <w:tabs>
          <w:tab w:val="left" w:pos="6795"/>
        </w:tabs>
        <w:jc w:val="both"/>
        <w:rPr>
          <w:rFonts w:ascii="Times New Roman" w:hAnsi="Times New Roman" w:cs="Times New Roman"/>
          <w:sz w:val="28"/>
          <w:szCs w:val="28"/>
        </w:rPr>
      </w:pPr>
      <w:r>
        <w:rPr>
          <w:rFonts w:ascii="Times New Roman" w:hAnsi="Times New Roman" w:cs="Times New Roman"/>
          <w:sz w:val="28"/>
          <w:szCs w:val="28"/>
        </w:rPr>
        <w:t>29. Нормативы, применяемые при расчете нормативных затрат на оплату услуг по подготовке документов для участия Кировской области в отборе инвестиционных проектов по созданию инновационной образовательной среды (кампусов) с применением механизмов государственно-частного партнерства и концессионных соглашений в рамках федерального проекта «Развитие инфраструктуры для научных исследований и подготовки кадров» национального проекта «Наука и университеты».</w:t>
      </w:r>
    </w:p>
    <w:p w14:paraId="1F3244B6">
      <w:pPr>
        <w:tabs>
          <w:tab w:val="left" w:pos="6795"/>
        </w:tabs>
        <w:jc w:val="both"/>
        <w:rPr>
          <w:rFonts w:ascii="Times New Roman" w:hAnsi="Times New Roman" w:cs="Times New Roman"/>
          <w:sz w:val="28"/>
          <w:szCs w:val="28"/>
        </w:rPr>
      </w:pPr>
      <w:r>
        <w:rPr>
          <w:rFonts w:ascii="Times New Roman" w:hAnsi="Times New Roman" w:cs="Times New Roman"/>
          <w:sz w:val="28"/>
          <w:szCs w:val="28"/>
        </w:rPr>
        <w:t>Зпд=</w:t>
      </w:r>
      <w:r>
        <w:rPr>
          <w:rFonts w:ascii="Times New Roman" w:hAnsi="Times New Roman" w:cs="Times New Roman"/>
          <w:sz w:val="28"/>
          <w:szCs w:val="28"/>
          <w:lang w:val="en-US"/>
        </w:rPr>
        <w:t>Q</w:t>
      </w:r>
      <w:r>
        <w:rPr>
          <w:rFonts w:ascii="Times New Roman" w:hAnsi="Times New Roman" w:cs="Times New Roman"/>
          <w:sz w:val="28"/>
          <w:szCs w:val="28"/>
        </w:rPr>
        <w:t xml:space="preserve">пд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пд, где</w:t>
      </w:r>
    </w:p>
    <w:p w14:paraId="73E7DED2">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 xml:space="preserve">пд – количество услуг по подготовке документов, </w:t>
      </w:r>
    </w:p>
    <w:p w14:paraId="482A3BED">
      <w:pPr>
        <w:tabs>
          <w:tab w:val="left" w:pos="6795"/>
        </w:tabs>
        <w:jc w:val="both"/>
        <w:rPr>
          <w:rFonts w:ascii="Times New Roman" w:hAnsi="Times New Roman" w:cs="Times New Roman"/>
          <w:sz w:val="28"/>
          <w:szCs w:val="28"/>
        </w:rPr>
      </w:pPr>
      <w:r>
        <w:rPr>
          <w:rFonts w:ascii="Times New Roman" w:hAnsi="Times New Roman" w:cs="Times New Roman"/>
          <w:sz w:val="28"/>
          <w:szCs w:val="28"/>
        </w:rPr>
        <w:t>Рпд – цена предоставления услуг по подготовке документов.</w:t>
      </w:r>
    </w:p>
    <w:p w14:paraId="29ABA554">
      <w:pPr>
        <w:tabs>
          <w:tab w:val="left" w:pos="6795"/>
        </w:tabs>
        <w:jc w:val="both"/>
        <w:rPr>
          <w:rFonts w:ascii="Times New Roman" w:hAnsi="Times New Roman" w:cs="Times New Roman"/>
          <w:sz w:val="28"/>
          <w:szCs w:val="28"/>
        </w:rPr>
      </w:pPr>
      <w:r>
        <w:rPr>
          <w:rFonts w:ascii="Times New Roman" w:hAnsi="Times New Roman" w:cs="Times New Roman"/>
          <w:sz w:val="28"/>
          <w:szCs w:val="28"/>
        </w:rPr>
        <w:t>Расчет затрат на подготовку документов производится в соответствии с нормативами согласно таблице №48.</w:t>
      </w:r>
    </w:p>
    <w:p w14:paraId="06FD253F">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                                                                                                                   Таблица №48.</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70"/>
        <w:gridCol w:w="4871"/>
      </w:tblGrid>
      <w:tr w14:paraId="18A2D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0" w:type="dxa"/>
          </w:tcPr>
          <w:p w14:paraId="13F61591">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Количество услуг по подготовке документов, в год</w:t>
            </w:r>
          </w:p>
        </w:tc>
        <w:tc>
          <w:tcPr>
            <w:tcW w:w="4871" w:type="dxa"/>
          </w:tcPr>
          <w:p w14:paraId="62A615E5">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Цена предоставления услуги по подготовке документов, рублей</w:t>
            </w:r>
          </w:p>
        </w:tc>
      </w:tr>
      <w:tr w14:paraId="6EEB1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0" w:type="dxa"/>
          </w:tcPr>
          <w:p w14:paraId="394077A8">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4871" w:type="dxa"/>
          </w:tcPr>
          <w:p w14:paraId="793B319C">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16 000 000,00</w:t>
            </w:r>
          </w:p>
        </w:tc>
      </w:tr>
    </w:tbl>
    <w:p w14:paraId="0CA46F3C">
      <w:pPr>
        <w:tabs>
          <w:tab w:val="left" w:pos="6795"/>
        </w:tabs>
        <w:jc w:val="both"/>
        <w:rPr>
          <w:rFonts w:ascii="Times New Roman" w:hAnsi="Times New Roman" w:cs="Times New Roman"/>
          <w:sz w:val="28"/>
          <w:szCs w:val="28"/>
        </w:rPr>
      </w:pPr>
    </w:p>
    <w:p w14:paraId="5217C5E6">
      <w:pPr>
        <w:jc w:val="both"/>
        <w:rPr>
          <w:rFonts w:ascii="Times New Roman" w:hAnsi="Times New Roman" w:cs="Times New Roman"/>
          <w:color w:val="000000"/>
          <w:sz w:val="28"/>
          <w:szCs w:val="28"/>
        </w:rPr>
      </w:pPr>
      <w:r>
        <w:rPr>
          <w:rFonts w:ascii="Times New Roman" w:hAnsi="Times New Roman" w:cs="Times New Roman"/>
          <w:sz w:val="28"/>
          <w:szCs w:val="28"/>
        </w:rPr>
        <w:t xml:space="preserve">  30.</w:t>
      </w:r>
      <w:r>
        <w:rPr>
          <w:rFonts w:ascii="Times New Roman" w:hAnsi="Times New Roman" w:cs="Times New Roman"/>
          <w:color w:val="000000"/>
          <w:sz w:val="28"/>
          <w:szCs w:val="28"/>
        </w:rPr>
        <w:t xml:space="preserve"> «Нормативы, применяемые при расчете нормативных затрат на оплату услуг аренды государственного имущества Кировской области»</w:t>
      </w:r>
    </w:p>
    <w:p w14:paraId="750FE71C">
      <w:pPr>
        <w:rPr>
          <w:rFonts w:ascii="Times New Roman" w:hAnsi="Times New Roman" w:cs="Times New Roman"/>
          <w:color w:val="000000"/>
          <w:sz w:val="28"/>
          <w:szCs w:val="28"/>
        </w:rPr>
      </w:pPr>
      <w:r>
        <w:rPr>
          <w:rFonts w:ascii="Times New Roman" w:hAnsi="Times New Roman" w:cs="Times New Roman"/>
          <w:color w:val="000000"/>
          <w:sz w:val="28"/>
          <w:szCs w:val="28"/>
        </w:rPr>
        <w:t xml:space="preserve">За= </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а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Ра, где</w:t>
      </w:r>
    </w:p>
    <w:p w14:paraId="7E222636">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а – количество услуг аренды государственного имущества;</w:t>
      </w:r>
    </w:p>
    <w:p w14:paraId="7F20EE5C">
      <w:pPr>
        <w:rPr>
          <w:rFonts w:ascii="Times New Roman" w:hAnsi="Times New Roman" w:cs="Times New Roman"/>
          <w:color w:val="000000"/>
          <w:sz w:val="28"/>
          <w:szCs w:val="28"/>
        </w:rPr>
      </w:pPr>
      <w:r>
        <w:rPr>
          <w:rFonts w:ascii="Times New Roman" w:hAnsi="Times New Roman" w:cs="Times New Roman"/>
          <w:color w:val="000000"/>
          <w:sz w:val="28"/>
          <w:szCs w:val="28"/>
        </w:rPr>
        <w:t>Ра – цена предоставления услуг по аренде государственного имущества.</w:t>
      </w:r>
    </w:p>
    <w:p w14:paraId="2D652C4B">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услуги аренды государственного имущества производится в соответствии с нормативами согласно таблице №49.</w:t>
      </w:r>
    </w:p>
    <w:p w14:paraId="1D61103E">
      <w:pPr>
        <w:jc w:val="right"/>
        <w:rPr>
          <w:rFonts w:ascii="Times New Roman" w:hAnsi="Times New Roman" w:cs="Times New Roman"/>
          <w:color w:val="000000"/>
          <w:sz w:val="28"/>
          <w:szCs w:val="28"/>
        </w:rPr>
      </w:pPr>
      <w:r>
        <w:rPr>
          <w:rFonts w:ascii="Times New Roman" w:hAnsi="Times New Roman" w:cs="Times New Roman"/>
          <w:color w:val="000000"/>
          <w:sz w:val="28"/>
          <w:szCs w:val="28"/>
        </w:rPr>
        <w:t>Таблица №49.</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70"/>
        <w:gridCol w:w="4871"/>
      </w:tblGrid>
      <w:tr w14:paraId="05C9E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0" w:type="dxa"/>
          </w:tcPr>
          <w:p w14:paraId="2FB8C994">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аренды государственного имущества, в год</w:t>
            </w:r>
          </w:p>
        </w:tc>
        <w:tc>
          <w:tcPr>
            <w:tcW w:w="4871" w:type="dxa"/>
          </w:tcPr>
          <w:p w14:paraId="5F1A0F4D">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предоставления услуги по аренде государственного имущества в год, рублей</w:t>
            </w:r>
          </w:p>
        </w:tc>
      </w:tr>
      <w:tr w14:paraId="17293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0" w:type="dxa"/>
          </w:tcPr>
          <w:p w14:paraId="2D22C5A3">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2A04D9EE">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2 000 000,00</w:t>
            </w:r>
          </w:p>
        </w:tc>
      </w:tr>
    </w:tbl>
    <w:p w14:paraId="133368D5">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             </w:t>
      </w:r>
    </w:p>
    <w:p w14:paraId="599126AD">
      <w:pPr>
        <w:jc w:val="both"/>
        <w:rPr>
          <w:rFonts w:ascii="Times New Roman" w:hAnsi="Times New Roman" w:cs="Times New Roman"/>
          <w:color w:val="000000"/>
          <w:sz w:val="28"/>
          <w:szCs w:val="28"/>
        </w:rPr>
      </w:pPr>
      <w:r>
        <w:rPr>
          <w:rFonts w:ascii="Times New Roman" w:hAnsi="Times New Roman" w:cs="Times New Roman"/>
          <w:sz w:val="28"/>
          <w:szCs w:val="28"/>
        </w:rPr>
        <w:t xml:space="preserve">31.  </w:t>
      </w:r>
      <w:r>
        <w:rPr>
          <w:rFonts w:ascii="Times New Roman" w:hAnsi="Times New Roman" w:cs="Times New Roman"/>
          <w:color w:val="000000"/>
          <w:sz w:val="28"/>
          <w:szCs w:val="28"/>
        </w:rPr>
        <w:t>«Нормативы, применяемые при расчете нормативных затрат на оплату услуг аренды выставочного образца деревянного домостроения и нестационарных торговых объектов».</w:t>
      </w:r>
    </w:p>
    <w:p w14:paraId="0E23BE01">
      <w:pPr>
        <w:jc w:val="both"/>
        <w:rPr>
          <w:rFonts w:ascii="Times New Roman" w:hAnsi="Times New Roman" w:cs="Times New Roman"/>
          <w:color w:val="000000"/>
          <w:sz w:val="28"/>
          <w:szCs w:val="28"/>
        </w:rPr>
      </w:pPr>
      <w:r>
        <w:rPr>
          <w:rFonts w:ascii="Times New Roman" w:hAnsi="Times New Roman" w:cs="Times New Roman"/>
          <w:color w:val="000000"/>
          <w:sz w:val="28"/>
          <w:szCs w:val="28"/>
        </w:rPr>
        <w:t>За=</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а х Ра, где </w:t>
      </w:r>
    </w:p>
    <w:p w14:paraId="0D61D9C6">
      <w:pPr>
        <w:jc w:val="both"/>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а – количество услуг аренды выставочного образца деревянного домостроения и нестационарных торговых объектов,</w:t>
      </w:r>
    </w:p>
    <w:p w14:paraId="66471E7C">
      <w:pPr>
        <w:jc w:val="both"/>
        <w:rPr>
          <w:rFonts w:ascii="Times New Roman" w:hAnsi="Times New Roman" w:cs="Times New Roman"/>
          <w:color w:val="000000"/>
          <w:sz w:val="28"/>
          <w:szCs w:val="28"/>
        </w:rPr>
      </w:pPr>
      <w:r>
        <w:rPr>
          <w:rFonts w:ascii="Times New Roman" w:hAnsi="Times New Roman" w:cs="Times New Roman"/>
          <w:color w:val="000000"/>
          <w:sz w:val="28"/>
          <w:szCs w:val="28"/>
        </w:rPr>
        <w:t>Ра – цена предоставления услуг по аренде выставочного образца деревянного домостроения и нестационарных торговых объектов.</w:t>
      </w:r>
    </w:p>
    <w:p w14:paraId="7F0EB373">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Расчет затрат на услуги аренды выставочного образца деревянного домостроения и нестационарных торговых объектов производится в соответствии с нормативами согласно таблице №50. </w:t>
      </w:r>
    </w:p>
    <w:p w14:paraId="55719B27">
      <w:pPr>
        <w:jc w:val="both"/>
        <w:rPr>
          <w:rFonts w:ascii="Times New Roman" w:hAnsi="Times New Roman" w:cs="Times New Roman"/>
          <w:color w:val="000000"/>
          <w:sz w:val="28"/>
          <w:szCs w:val="28"/>
        </w:rPr>
      </w:pPr>
    </w:p>
    <w:p w14:paraId="53F6639A">
      <w:pPr>
        <w:jc w:val="both"/>
        <w:rPr>
          <w:rFonts w:ascii="Times New Roman" w:hAnsi="Times New Roman" w:cs="Times New Roman"/>
          <w:color w:val="000000"/>
          <w:sz w:val="28"/>
          <w:szCs w:val="28"/>
        </w:rPr>
      </w:pPr>
    </w:p>
    <w:p w14:paraId="36C948FC">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Таблица №50.</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70"/>
        <w:gridCol w:w="4871"/>
      </w:tblGrid>
      <w:tr w14:paraId="5C61E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0" w:type="dxa"/>
          </w:tcPr>
          <w:p w14:paraId="396B15FC">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аренды выставочного образца деревянного домостроения и нестационарных торговых объектов, в год</w:t>
            </w:r>
          </w:p>
          <w:p w14:paraId="3C704A84">
            <w:pPr>
              <w:spacing w:after="0" w:line="240" w:lineRule="auto"/>
              <w:jc w:val="both"/>
              <w:rPr>
                <w:rFonts w:ascii="Times New Roman" w:hAnsi="Times New Roman" w:cs="Times New Roman"/>
                <w:color w:val="000000"/>
                <w:sz w:val="28"/>
                <w:szCs w:val="28"/>
              </w:rPr>
            </w:pPr>
          </w:p>
        </w:tc>
        <w:tc>
          <w:tcPr>
            <w:tcW w:w="4871" w:type="dxa"/>
          </w:tcPr>
          <w:p w14:paraId="6F3D3957">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Цена предоставления услуги по аренде выставочного образца деревянного домостроения и нестационарных торговых объектов, рублей</w:t>
            </w:r>
          </w:p>
          <w:p w14:paraId="3AE77435">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tc>
      </w:tr>
      <w:tr w14:paraId="618E9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0" w:type="dxa"/>
          </w:tcPr>
          <w:p w14:paraId="3426DD01">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51F93C64">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480 000,00</w:t>
            </w:r>
          </w:p>
        </w:tc>
      </w:tr>
    </w:tbl>
    <w:p w14:paraId="3AB15AA8">
      <w:pPr>
        <w:jc w:val="center"/>
        <w:rPr>
          <w:rFonts w:ascii="Times New Roman" w:hAnsi="Times New Roman" w:cs="Times New Roman"/>
          <w:color w:val="000000"/>
          <w:sz w:val="28"/>
          <w:szCs w:val="28"/>
        </w:rPr>
      </w:pPr>
    </w:p>
    <w:p w14:paraId="08E2EC93">
      <w:pPr>
        <w:rPr>
          <w:rFonts w:ascii="Times New Roman" w:hAnsi="Times New Roman" w:cs="Times New Roman"/>
          <w:color w:val="000000"/>
          <w:sz w:val="28"/>
          <w:szCs w:val="28"/>
        </w:rPr>
      </w:pPr>
      <w:r>
        <w:rPr>
          <w:rFonts w:ascii="Times New Roman" w:hAnsi="Times New Roman" w:cs="Times New Roman"/>
          <w:color w:val="000000"/>
          <w:sz w:val="28"/>
          <w:szCs w:val="28"/>
        </w:rPr>
        <w:t>32. Затраты на оплату услуг по созданию ролика (видео, аудио и т.д.) (Зр)  определяются по формуле:</w:t>
      </w:r>
    </w:p>
    <w:p w14:paraId="049A81BF">
      <w:pPr>
        <w:rPr>
          <w:rFonts w:ascii="Times New Roman" w:hAnsi="Times New Roman" w:cs="Times New Roman"/>
          <w:color w:val="000000"/>
          <w:sz w:val="28"/>
          <w:szCs w:val="28"/>
        </w:rPr>
      </w:pPr>
      <w:r>
        <w:rPr>
          <w:rFonts w:ascii="Times New Roman" w:hAnsi="Times New Roman" w:cs="Times New Roman"/>
          <w:color w:val="000000"/>
          <w:sz w:val="28"/>
          <w:szCs w:val="28"/>
        </w:rPr>
        <w:t>Зр=</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р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р, где</w:t>
      </w:r>
    </w:p>
    <w:p w14:paraId="367034A9">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р – количество услуг по созданию ролика</w:t>
      </w:r>
    </w:p>
    <w:p w14:paraId="09A0FAAF">
      <w:pPr>
        <w:rPr>
          <w:rFonts w:ascii="Times New Roman" w:hAnsi="Times New Roman" w:cs="Times New Roman"/>
          <w:color w:val="000000"/>
          <w:sz w:val="28"/>
          <w:szCs w:val="28"/>
        </w:rPr>
      </w:pPr>
      <w:r>
        <w:rPr>
          <w:rFonts w:ascii="Times New Roman" w:hAnsi="Times New Roman" w:cs="Times New Roman"/>
          <w:color w:val="000000"/>
          <w:sz w:val="28"/>
          <w:szCs w:val="28"/>
        </w:rPr>
        <w:t>Рр – цена предоставления услуг по созданию ролика.</w:t>
      </w:r>
    </w:p>
    <w:p w14:paraId="7FBDC364">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создание ролика производится в соответствии с нормативами согласно таблице №51.</w:t>
      </w:r>
    </w:p>
    <w:p w14:paraId="2DFDDFE5">
      <w:pPr>
        <w:rPr>
          <w:rFonts w:ascii="Times New Roman" w:hAnsi="Times New Roman" w:cs="Times New Roman"/>
          <w:color w:val="000000"/>
          <w:sz w:val="28"/>
          <w:szCs w:val="28"/>
          <w:lang w:val="en-US"/>
        </w:rPr>
      </w:pPr>
      <w:r>
        <w:rPr>
          <w:rFonts w:ascii="Times New Roman" w:hAnsi="Times New Roman" w:cs="Times New Roman"/>
          <w:color w:val="000000"/>
          <w:sz w:val="28"/>
          <w:szCs w:val="28"/>
        </w:rPr>
        <w:t xml:space="preserve">                                                                                                                   Таблица №51.</w:t>
      </w:r>
      <w:r>
        <w:rPr>
          <w:rFonts w:ascii="Times New Roman" w:hAnsi="Times New Roman" w:cs="Times New Roman"/>
          <w:color w:val="000000"/>
          <w:sz w:val="28"/>
          <w:szCs w:val="28"/>
          <w:lang w:val="en-US"/>
        </w:rPr>
        <w:t xml:space="preserve"> </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70"/>
        <w:gridCol w:w="4871"/>
      </w:tblGrid>
      <w:tr w14:paraId="62AC4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0" w:type="dxa"/>
          </w:tcPr>
          <w:p w14:paraId="7F8324BC">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по созданию ролика в год</w:t>
            </w:r>
          </w:p>
        </w:tc>
        <w:tc>
          <w:tcPr>
            <w:tcW w:w="4871" w:type="dxa"/>
          </w:tcPr>
          <w:p w14:paraId="65254A9D">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предоставления услуги по созданию ролика, рублей</w:t>
            </w:r>
          </w:p>
        </w:tc>
      </w:tr>
      <w:tr w14:paraId="061BA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0" w:type="dxa"/>
          </w:tcPr>
          <w:p w14:paraId="075A485C">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2D969D42">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2 300 000,00</w:t>
            </w:r>
          </w:p>
        </w:tc>
      </w:tr>
    </w:tbl>
    <w:p w14:paraId="6E65A29C">
      <w:pPr>
        <w:jc w:val="center"/>
        <w:rPr>
          <w:rFonts w:ascii="Times New Roman" w:hAnsi="Times New Roman" w:cs="Times New Roman"/>
          <w:color w:val="000000"/>
          <w:sz w:val="28"/>
          <w:szCs w:val="28"/>
        </w:rPr>
      </w:pPr>
    </w:p>
    <w:p w14:paraId="4C5E5368">
      <w:pPr>
        <w:tabs>
          <w:tab w:val="left" w:pos="6795"/>
        </w:tabs>
        <w:jc w:val="both"/>
        <w:rPr>
          <w:rFonts w:ascii="Times New Roman" w:hAnsi="Times New Roman" w:cs="Times New Roman"/>
          <w:sz w:val="28"/>
          <w:szCs w:val="28"/>
        </w:rPr>
      </w:pPr>
      <w:r>
        <w:rPr>
          <w:rFonts w:ascii="Times New Roman" w:hAnsi="Times New Roman" w:cs="Times New Roman"/>
          <w:sz w:val="28"/>
          <w:szCs w:val="28"/>
        </w:rPr>
        <w:t>33.Нормативы, применяемые при расчете нормативных затрат на приобретение знаков почтовой связи:</w:t>
      </w:r>
    </w:p>
    <w:p w14:paraId="23B5058D">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знаков почтовой связи производится в соответствии с нормативами согласно таблице №52. </w:t>
      </w:r>
    </w:p>
    <w:p w14:paraId="6A72E058">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                                                                                                                   Таблица №52.</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11"/>
        <w:gridCol w:w="3015"/>
        <w:gridCol w:w="3015"/>
      </w:tblGrid>
      <w:tr w14:paraId="6BF44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11" w:type="dxa"/>
          </w:tcPr>
          <w:p w14:paraId="3607AA34">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Наименование товара</w:t>
            </w:r>
          </w:p>
        </w:tc>
        <w:tc>
          <w:tcPr>
            <w:tcW w:w="3015" w:type="dxa"/>
          </w:tcPr>
          <w:p w14:paraId="5F1962E8">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Цена одного знака почтовой оплаты (рублей)</w:t>
            </w:r>
          </w:p>
        </w:tc>
        <w:tc>
          <w:tcPr>
            <w:tcW w:w="3015" w:type="dxa"/>
          </w:tcPr>
          <w:p w14:paraId="3958687B">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Количество знаков почтовой оплаты (штук)</w:t>
            </w:r>
          </w:p>
        </w:tc>
      </w:tr>
      <w:tr w14:paraId="67414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11" w:type="dxa"/>
          </w:tcPr>
          <w:p w14:paraId="161C2C47">
            <w:pPr>
              <w:tabs>
                <w:tab w:val="left" w:pos="94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Конверт немаркированный</w:t>
            </w:r>
          </w:p>
        </w:tc>
        <w:tc>
          <w:tcPr>
            <w:tcW w:w="3015" w:type="dxa"/>
          </w:tcPr>
          <w:p w14:paraId="51DB5B0F">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не более 50</w:t>
            </w:r>
          </w:p>
        </w:tc>
        <w:tc>
          <w:tcPr>
            <w:tcW w:w="3015" w:type="dxa"/>
          </w:tcPr>
          <w:p w14:paraId="7AD8F372">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не более </w:t>
            </w:r>
            <w:r>
              <w:rPr>
                <w:rFonts w:hint="default" w:ascii="Times New Roman" w:hAnsi="Times New Roman" w:cs="Times New Roman"/>
                <w:sz w:val="28"/>
                <w:szCs w:val="28"/>
                <w:lang w:val="ru-RU"/>
              </w:rPr>
              <w:t>5</w:t>
            </w:r>
            <w:r>
              <w:rPr>
                <w:rFonts w:ascii="Times New Roman" w:hAnsi="Times New Roman" w:cs="Times New Roman"/>
                <w:sz w:val="28"/>
                <w:szCs w:val="28"/>
              </w:rPr>
              <w:t>00</w:t>
            </w:r>
          </w:p>
        </w:tc>
      </w:tr>
      <w:tr w14:paraId="2FF5C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11" w:type="dxa"/>
          </w:tcPr>
          <w:p w14:paraId="73FB6F21">
            <w:pPr>
              <w:tabs>
                <w:tab w:val="left" w:pos="94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Марка почтовая</w:t>
            </w:r>
          </w:p>
        </w:tc>
        <w:tc>
          <w:tcPr>
            <w:tcW w:w="3015" w:type="dxa"/>
          </w:tcPr>
          <w:p w14:paraId="0FE34305">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не более 50</w:t>
            </w:r>
          </w:p>
        </w:tc>
        <w:tc>
          <w:tcPr>
            <w:tcW w:w="3015" w:type="dxa"/>
          </w:tcPr>
          <w:p w14:paraId="1C8EDE6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не более 2000</w:t>
            </w:r>
          </w:p>
        </w:tc>
      </w:tr>
    </w:tbl>
    <w:p w14:paraId="515C3AED">
      <w:pPr>
        <w:tabs>
          <w:tab w:val="left" w:pos="6795"/>
        </w:tabs>
        <w:jc w:val="both"/>
        <w:rPr>
          <w:rFonts w:ascii="Times New Roman" w:hAnsi="Times New Roman" w:cs="Times New Roman"/>
          <w:sz w:val="28"/>
          <w:szCs w:val="28"/>
          <w:lang w:val="en-US"/>
        </w:rPr>
      </w:pPr>
    </w:p>
    <w:p w14:paraId="51A92F3F">
      <w:pPr>
        <w:tabs>
          <w:tab w:val="left" w:pos="6795"/>
        </w:tabs>
        <w:jc w:val="both"/>
        <w:rPr>
          <w:rFonts w:ascii="Times New Roman" w:hAnsi="Times New Roman" w:cs="Times New Roman"/>
          <w:sz w:val="28"/>
          <w:szCs w:val="28"/>
          <w:lang w:val="en-US"/>
        </w:rPr>
      </w:pPr>
    </w:p>
    <w:p w14:paraId="041377FF">
      <w:pPr>
        <w:tabs>
          <w:tab w:val="left" w:pos="6795"/>
        </w:tabs>
        <w:jc w:val="both"/>
        <w:rPr>
          <w:rFonts w:ascii="Times New Roman" w:hAnsi="Times New Roman" w:cs="Times New Roman"/>
          <w:sz w:val="28"/>
          <w:szCs w:val="28"/>
        </w:rPr>
      </w:pPr>
      <w:r>
        <w:rPr>
          <w:rFonts w:ascii="Times New Roman" w:hAnsi="Times New Roman" w:cs="Times New Roman"/>
          <w:sz w:val="28"/>
          <w:szCs w:val="28"/>
        </w:rPr>
        <w:t>Затраты на приобретение знаков почтовой связи (З</w:t>
      </w:r>
      <w:r>
        <w:rPr>
          <w:rFonts w:ascii="Times New Roman" w:hAnsi="Times New Roman" w:cs="Times New Roman"/>
          <w:sz w:val="20"/>
          <w:szCs w:val="20"/>
        </w:rPr>
        <w:t>пс)</w:t>
      </w:r>
      <w:r>
        <w:rPr>
          <w:rFonts w:ascii="Times New Roman" w:hAnsi="Times New Roman" w:cs="Times New Roman"/>
          <w:sz w:val="28"/>
          <w:szCs w:val="28"/>
        </w:rPr>
        <w:t xml:space="preserve"> определяются по формуле:</w:t>
      </w:r>
    </w:p>
    <w:p w14:paraId="24875D37">
      <w:pPr>
        <w:tabs>
          <w:tab w:val="left" w:pos="6795"/>
        </w:tabs>
        <w:jc w:val="both"/>
        <w:rPr>
          <w:rFonts w:ascii="Times New Roman" w:hAnsi="Times New Roman" w:cs="Times New Roman"/>
          <w:sz w:val="28"/>
          <w:szCs w:val="28"/>
        </w:rPr>
      </w:pPr>
      <w:r>
        <w:rPr>
          <w:rFonts w:ascii="Times New Roman" w:hAnsi="Times New Roman" w:cs="Times New Roman"/>
          <w:sz w:val="28"/>
          <w:szCs w:val="28"/>
        </w:rPr>
        <w:t>З</w:t>
      </w:r>
      <w:r>
        <w:rPr>
          <w:rFonts w:ascii="Times New Roman" w:hAnsi="Times New Roman" w:cs="Times New Roman"/>
          <w:sz w:val="20"/>
          <w:szCs w:val="20"/>
        </w:rPr>
        <w:t>пс=</w:t>
      </w:r>
      <w:r>
        <w:rPr>
          <w:rFonts w:ascii="Times New Roman" w:hAnsi="Times New Roman" w:cs="Times New Roman"/>
          <w:sz w:val="28"/>
          <w:szCs w:val="28"/>
          <w:lang w:val="en-US"/>
        </w:rPr>
        <w:t>Q</w:t>
      </w:r>
      <w:r>
        <w:rPr>
          <w:rFonts w:ascii="Times New Roman" w:hAnsi="Times New Roman" w:cs="Times New Roman"/>
          <w:sz w:val="20"/>
          <w:szCs w:val="20"/>
        </w:rPr>
        <w:t xml:space="preserve">пс </w:t>
      </w:r>
      <w:r>
        <w:rPr>
          <w:rFonts w:ascii="Times New Roman" w:hAnsi="Times New Roman" w:cs="Times New Roman"/>
          <w:sz w:val="20"/>
          <w:szCs w:val="20"/>
          <w:lang w:val="en-US"/>
        </w:rPr>
        <w:t>x</w:t>
      </w:r>
      <w:r>
        <w:rPr>
          <w:rFonts w:ascii="Times New Roman" w:hAnsi="Times New Roman" w:cs="Times New Roman"/>
          <w:sz w:val="20"/>
          <w:szCs w:val="20"/>
        </w:rPr>
        <w:t xml:space="preserve"> </w:t>
      </w:r>
      <w:r>
        <w:rPr>
          <w:rFonts w:ascii="Times New Roman" w:hAnsi="Times New Roman" w:cs="Times New Roman"/>
          <w:sz w:val="28"/>
          <w:szCs w:val="28"/>
          <w:lang w:val="en-US"/>
        </w:rPr>
        <w:t>P</w:t>
      </w:r>
      <w:r>
        <w:rPr>
          <w:rFonts w:ascii="Times New Roman" w:hAnsi="Times New Roman" w:cs="Times New Roman"/>
          <w:sz w:val="20"/>
          <w:szCs w:val="20"/>
        </w:rPr>
        <w:t xml:space="preserve">пс, </w:t>
      </w:r>
      <w:r>
        <w:rPr>
          <w:rFonts w:ascii="Times New Roman" w:hAnsi="Times New Roman" w:cs="Times New Roman"/>
          <w:sz w:val="28"/>
          <w:szCs w:val="28"/>
        </w:rPr>
        <w:t>где:</w:t>
      </w:r>
    </w:p>
    <w:p w14:paraId="73B597FD">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0"/>
          <w:szCs w:val="20"/>
        </w:rPr>
        <w:t xml:space="preserve">пс </w:t>
      </w:r>
      <w:r>
        <w:rPr>
          <w:rFonts w:ascii="Times New Roman" w:hAnsi="Times New Roman" w:cs="Times New Roman"/>
          <w:sz w:val="28"/>
          <w:szCs w:val="28"/>
        </w:rPr>
        <w:t>– количество знаков почтовой связи,</w:t>
      </w:r>
    </w:p>
    <w:p w14:paraId="529420B5">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P</w:t>
      </w:r>
      <w:r>
        <w:rPr>
          <w:rFonts w:ascii="Times New Roman" w:hAnsi="Times New Roman" w:cs="Times New Roman"/>
          <w:sz w:val="20"/>
          <w:szCs w:val="20"/>
        </w:rPr>
        <w:t xml:space="preserve">по- </w:t>
      </w:r>
      <w:r>
        <w:rPr>
          <w:rFonts w:ascii="Times New Roman" w:hAnsi="Times New Roman" w:cs="Times New Roman"/>
          <w:sz w:val="28"/>
          <w:szCs w:val="28"/>
        </w:rPr>
        <w:t>цена знака почтовой связи.</w:t>
      </w:r>
    </w:p>
    <w:p w14:paraId="3E683A7A">
      <w:pPr>
        <w:tabs>
          <w:tab w:val="left" w:pos="6795"/>
        </w:tabs>
        <w:jc w:val="both"/>
        <w:rPr>
          <w:rFonts w:ascii="Times New Roman" w:hAnsi="Times New Roman" w:cs="Times New Roman"/>
          <w:sz w:val="28"/>
          <w:szCs w:val="28"/>
        </w:rPr>
      </w:pPr>
    </w:p>
    <w:p w14:paraId="00071091">
      <w:pPr>
        <w:widowControl w:val="0"/>
        <w:autoSpaceDE w:val="0"/>
        <w:autoSpaceDN w:val="0"/>
        <w:spacing w:before="240" w:after="0" w:line="36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34. Затраты на поставку и монтаж жалюзи с карнизом (Зпм) определяется по формуле:</w:t>
      </w:r>
    </w:p>
    <w:p w14:paraId="2A1334F0">
      <w:pPr>
        <w:widowControl w:val="0"/>
        <w:autoSpaceDE w:val="0"/>
        <w:autoSpaceDN w:val="0"/>
        <w:spacing w:before="240" w:after="0" w:line="36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Зпм= </w:t>
      </w:r>
      <w:r>
        <w:rPr>
          <w:rFonts w:ascii="Times New Roman" w:hAnsi="Times New Roman" w:eastAsia="Times New Roman" w:cs="Times New Roman"/>
          <w:sz w:val="28"/>
          <w:szCs w:val="28"/>
          <w:lang w:val="en-US" w:eastAsia="ru-RU"/>
        </w:rPr>
        <w:t>Q</w:t>
      </w:r>
      <w:r>
        <w:rPr>
          <w:rFonts w:ascii="Times New Roman" w:hAnsi="Times New Roman" w:eastAsia="Times New Roman" w:cs="Times New Roman"/>
          <w:sz w:val="28"/>
          <w:szCs w:val="28"/>
          <w:lang w:eastAsia="ru-RU"/>
        </w:rPr>
        <w:t xml:space="preserve">пм </w:t>
      </w:r>
      <w:r>
        <w:rPr>
          <w:rFonts w:ascii="Times New Roman" w:hAnsi="Times New Roman" w:eastAsia="Times New Roman" w:cs="Times New Roman"/>
          <w:sz w:val="28"/>
          <w:szCs w:val="28"/>
          <w:lang w:val="en-US" w:eastAsia="ru-RU"/>
        </w:rPr>
        <w:t>x</w:t>
      </w:r>
      <w:r>
        <w:rPr>
          <w:rFonts w:ascii="Times New Roman" w:hAnsi="Times New Roman" w:eastAsia="Times New Roman" w:cs="Times New Roman"/>
          <w:sz w:val="28"/>
          <w:szCs w:val="28"/>
          <w:lang w:eastAsia="ru-RU"/>
        </w:rPr>
        <w:t xml:space="preserve"> Рпм, где</w:t>
      </w:r>
    </w:p>
    <w:p w14:paraId="3DE29FC0">
      <w:pPr>
        <w:widowControl w:val="0"/>
        <w:autoSpaceDE w:val="0"/>
        <w:autoSpaceDN w:val="0"/>
        <w:spacing w:before="240" w:after="0" w:line="36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val="en-US" w:eastAsia="ru-RU"/>
        </w:rPr>
        <w:t>Q</w:t>
      </w:r>
      <w:r>
        <w:rPr>
          <w:rFonts w:ascii="Times New Roman" w:hAnsi="Times New Roman" w:eastAsia="Times New Roman" w:cs="Times New Roman"/>
          <w:sz w:val="28"/>
          <w:szCs w:val="28"/>
          <w:lang w:eastAsia="ru-RU"/>
        </w:rPr>
        <w:t>пм- количество поставок и монтажей жалюзи с карнизом,</w:t>
      </w:r>
    </w:p>
    <w:p w14:paraId="3A175195">
      <w:pPr>
        <w:widowControl w:val="0"/>
        <w:autoSpaceDE w:val="0"/>
        <w:autoSpaceDN w:val="0"/>
        <w:spacing w:before="240" w:after="0" w:line="36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Рпм- цена за поставку и монтаж жалюзи с карнизом.</w:t>
      </w:r>
    </w:p>
    <w:p w14:paraId="2BA189E3">
      <w:pPr>
        <w:widowControl w:val="0"/>
        <w:autoSpaceDE w:val="0"/>
        <w:autoSpaceDN w:val="0"/>
        <w:spacing w:before="240" w:after="0" w:line="36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Расчет затрат производится в соответствии с нормативами согласно таблице 53.</w:t>
      </w:r>
    </w:p>
    <w:p w14:paraId="6F338B40">
      <w:pPr>
        <w:widowControl w:val="0"/>
        <w:autoSpaceDE w:val="0"/>
        <w:autoSpaceDN w:val="0"/>
        <w:spacing w:before="240" w:after="0" w:line="36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Таблица №53.                                                                      </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70"/>
        <w:gridCol w:w="4871"/>
      </w:tblGrid>
      <w:tr w14:paraId="7860A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0" w:type="dxa"/>
          </w:tcPr>
          <w:p w14:paraId="27720286">
            <w:pPr>
              <w:widowControl w:val="0"/>
              <w:autoSpaceDE w:val="0"/>
              <w:autoSpaceDN w:val="0"/>
              <w:spacing w:before="240" w:after="0" w:line="36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Количество поставок и монтажей жалюзи с карнизом за 1 единицу (штуку) </w:t>
            </w:r>
          </w:p>
        </w:tc>
        <w:tc>
          <w:tcPr>
            <w:tcW w:w="4871" w:type="dxa"/>
          </w:tcPr>
          <w:p w14:paraId="5BD79449">
            <w:pPr>
              <w:widowControl w:val="0"/>
              <w:autoSpaceDE w:val="0"/>
              <w:autoSpaceDN w:val="0"/>
              <w:spacing w:before="240" w:after="0" w:line="36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Цена за поставку и монтаж жалюзи с карнизом за 1 единицу (штуку), рублей</w:t>
            </w:r>
          </w:p>
        </w:tc>
      </w:tr>
      <w:tr w14:paraId="2DB22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0" w:type="dxa"/>
          </w:tcPr>
          <w:p w14:paraId="2F895FD2">
            <w:pPr>
              <w:widowControl w:val="0"/>
              <w:autoSpaceDE w:val="0"/>
              <w:autoSpaceDN w:val="0"/>
              <w:spacing w:before="240" w:after="0" w:line="36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не более 10</w:t>
            </w:r>
          </w:p>
        </w:tc>
        <w:tc>
          <w:tcPr>
            <w:tcW w:w="4871" w:type="dxa"/>
          </w:tcPr>
          <w:p w14:paraId="442DD787">
            <w:pPr>
              <w:widowControl w:val="0"/>
              <w:autoSpaceDE w:val="0"/>
              <w:autoSpaceDN w:val="0"/>
              <w:spacing w:before="240" w:after="0" w:line="36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не более 5 000,00</w:t>
            </w:r>
          </w:p>
        </w:tc>
      </w:tr>
    </w:tbl>
    <w:p w14:paraId="25967D4A">
      <w:pPr>
        <w:widowControl w:val="0"/>
        <w:autoSpaceDE w:val="0"/>
        <w:autoSpaceDN w:val="0"/>
        <w:spacing w:before="240" w:after="0" w:line="36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w:t>
      </w:r>
    </w:p>
    <w:p w14:paraId="1B6C37BA">
      <w:pPr>
        <w:rPr>
          <w:rFonts w:ascii="Times New Roman" w:hAnsi="Times New Roman" w:cs="Times New Roman"/>
          <w:color w:val="000000"/>
          <w:sz w:val="28"/>
          <w:szCs w:val="28"/>
        </w:rPr>
      </w:pPr>
      <w:r>
        <w:rPr>
          <w:rFonts w:ascii="Times New Roman" w:hAnsi="Times New Roman" w:cs="Times New Roman"/>
          <w:sz w:val="28"/>
          <w:szCs w:val="28"/>
        </w:rPr>
        <w:t xml:space="preserve">        35. </w:t>
      </w:r>
      <w:r>
        <w:rPr>
          <w:rFonts w:ascii="Times New Roman" w:hAnsi="Times New Roman" w:cs="Times New Roman"/>
          <w:color w:val="000000"/>
          <w:sz w:val="28"/>
          <w:szCs w:val="28"/>
        </w:rPr>
        <w:t xml:space="preserve">Затраты на оплату услуг </w:t>
      </w:r>
      <w:r>
        <w:rPr>
          <w:rFonts w:ascii="Times New Roman" w:hAnsi="Times New Roman" w:eastAsia="Calibri" w:cs="Times New Roman"/>
          <w:sz w:val="28"/>
          <w:szCs w:val="28"/>
        </w:rPr>
        <w:t>по популяризации элементов регионального инвестиционного стандарта</w:t>
      </w:r>
      <w:r>
        <w:rPr>
          <w:rFonts w:ascii="Times New Roman" w:hAnsi="Times New Roman" w:cs="Times New Roman"/>
          <w:color w:val="000000"/>
          <w:sz w:val="28"/>
          <w:szCs w:val="28"/>
        </w:rPr>
        <w:t xml:space="preserve"> (Зп) определяются по формуле:</w:t>
      </w:r>
    </w:p>
    <w:p w14:paraId="5EC3ED68">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Зп = </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п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bookmarkStart w:id="6" w:name="_Hlk149566188"/>
      <w:r>
        <w:rPr>
          <w:rFonts w:ascii="Times New Roman" w:hAnsi="Times New Roman" w:cs="Times New Roman"/>
          <w:color w:val="000000"/>
          <w:sz w:val="28"/>
          <w:szCs w:val="28"/>
          <w:lang w:val="en-US"/>
        </w:rPr>
        <w:t>P</w:t>
      </w:r>
      <w:r>
        <w:rPr>
          <w:rFonts w:ascii="Times New Roman" w:hAnsi="Times New Roman" w:cs="Times New Roman"/>
          <w:color w:val="000000"/>
          <w:sz w:val="28"/>
          <w:szCs w:val="28"/>
        </w:rPr>
        <w:t>п</w:t>
      </w:r>
      <w:bookmarkEnd w:id="6"/>
      <w:r>
        <w:rPr>
          <w:rFonts w:ascii="Times New Roman" w:hAnsi="Times New Roman" w:cs="Times New Roman"/>
          <w:color w:val="000000"/>
          <w:sz w:val="28"/>
          <w:szCs w:val="28"/>
        </w:rPr>
        <w:t>, где</w:t>
      </w:r>
    </w:p>
    <w:p w14:paraId="1E708413">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п- количество услуг по популяризации элементов регионального инвестиционного стандарта;</w:t>
      </w:r>
    </w:p>
    <w:p w14:paraId="542BD926">
      <w:pPr>
        <w:rPr>
          <w:rFonts w:ascii="Times New Roman" w:hAnsi="Times New Roman" w:cs="Times New Roman"/>
          <w:color w:val="000000"/>
          <w:sz w:val="28"/>
          <w:szCs w:val="28"/>
        </w:rPr>
      </w:pP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п – цена за услугу по популяризации элементов регионального инвестиционного стандарта.</w:t>
      </w:r>
    </w:p>
    <w:p w14:paraId="54B90657">
      <w:pPr>
        <w:rPr>
          <w:rFonts w:ascii="Times New Roman" w:hAnsi="Times New Roman" w:cs="Times New Roman"/>
          <w:color w:val="000000"/>
          <w:sz w:val="28"/>
          <w:szCs w:val="28"/>
        </w:rPr>
      </w:pPr>
      <w:r>
        <w:rPr>
          <w:rFonts w:ascii="Times New Roman" w:hAnsi="Times New Roman" w:cs="Times New Roman"/>
          <w:color w:val="000000"/>
          <w:sz w:val="28"/>
          <w:szCs w:val="28"/>
        </w:rPr>
        <w:t>36. Нормативы, применяемые при расчете нормативных затрат на оплату услуг по популяризации элементов регионального инвестиционного стандарта:</w:t>
      </w:r>
    </w:p>
    <w:p w14:paraId="6E64D361">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оказание услуг по популяризации элементов регионального инвестиционного стандарта производится в соответствии с нормативами согласно таблице №54.</w:t>
      </w:r>
    </w:p>
    <w:p w14:paraId="4C01E6FB">
      <w:pPr>
        <w:tabs>
          <w:tab w:val="left" w:pos="6795"/>
        </w:tabs>
        <w:jc w:val="right"/>
        <w:rPr>
          <w:rFonts w:ascii="Times New Roman" w:hAnsi="Times New Roman" w:cs="Times New Roman"/>
          <w:sz w:val="28"/>
          <w:szCs w:val="28"/>
        </w:rPr>
      </w:pPr>
      <w:r>
        <w:rPr>
          <w:rFonts w:ascii="Times New Roman" w:hAnsi="Times New Roman" w:cs="Times New Roman"/>
          <w:sz w:val="28"/>
          <w:szCs w:val="28"/>
        </w:rPr>
        <w:t xml:space="preserve"> Таблица №54.</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70"/>
        <w:gridCol w:w="4871"/>
      </w:tblGrid>
      <w:tr w14:paraId="3E1A6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0" w:type="dxa"/>
          </w:tcPr>
          <w:p w14:paraId="0681B5B3">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услуг по популяризации элементов регионального инвестиционного стандарта в год</w:t>
            </w:r>
          </w:p>
        </w:tc>
        <w:tc>
          <w:tcPr>
            <w:tcW w:w="4871" w:type="dxa"/>
          </w:tcPr>
          <w:p w14:paraId="633BED98">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за услугу по популяризации элементов регионального инвестиционного стандарта (в рублях)</w:t>
            </w:r>
          </w:p>
          <w:p w14:paraId="39243BE4">
            <w:pPr>
              <w:tabs>
                <w:tab w:val="left" w:pos="6795"/>
              </w:tabs>
              <w:spacing w:after="0" w:line="240" w:lineRule="auto"/>
              <w:rPr>
                <w:rFonts w:ascii="Times New Roman" w:hAnsi="Times New Roman" w:cs="Times New Roman"/>
                <w:sz w:val="28"/>
                <w:szCs w:val="28"/>
              </w:rPr>
            </w:pPr>
          </w:p>
        </w:tc>
      </w:tr>
      <w:tr w14:paraId="24F52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0" w:type="dxa"/>
          </w:tcPr>
          <w:p w14:paraId="15B7D11C">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4871" w:type="dxa"/>
          </w:tcPr>
          <w:p w14:paraId="47DDD9B1">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600 000,00</w:t>
            </w:r>
          </w:p>
        </w:tc>
      </w:tr>
    </w:tbl>
    <w:p w14:paraId="36C4088C">
      <w:pPr>
        <w:tabs>
          <w:tab w:val="left" w:pos="6795"/>
        </w:tabs>
        <w:rPr>
          <w:rFonts w:ascii="Times New Roman" w:hAnsi="Times New Roman" w:cs="Times New Roman"/>
          <w:sz w:val="28"/>
          <w:szCs w:val="28"/>
        </w:rPr>
      </w:pPr>
    </w:p>
    <w:p w14:paraId="551E74F9">
      <w:pPr>
        <w:tabs>
          <w:tab w:val="left" w:pos="6795"/>
        </w:tabs>
        <w:rPr>
          <w:rFonts w:ascii="Times New Roman" w:hAnsi="Times New Roman" w:cs="Times New Roman"/>
          <w:sz w:val="28"/>
          <w:szCs w:val="28"/>
        </w:rPr>
      </w:pPr>
    </w:p>
    <w:p w14:paraId="64C9EB4F">
      <w:pPr>
        <w:rPr>
          <w:rFonts w:ascii="Times New Roman" w:hAnsi="Times New Roman" w:cs="Times New Roman"/>
          <w:color w:val="000000"/>
          <w:sz w:val="28"/>
          <w:szCs w:val="28"/>
        </w:rPr>
      </w:pPr>
      <w:r>
        <w:rPr>
          <w:rFonts w:ascii="Times New Roman" w:hAnsi="Times New Roman" w:cs="Times New Roman"/>
          <w:sz w:val="28"/>
          <w:szCs w:val="28"/>
        </w:rPr>
        <w:t xml:space="preserve">37. </w:t>
      </w:r>
      <w:r>
        <w:rPr>
          <w:rFonts w:ascii="Times New Roman" w:hAnsi="Times New Roman" w:cs="Times New Roman"/>
          <w:color w:val="000000"/>
          <w:sz w:val="28"/>
          <w:szCs w:val="28"/>
        </w:rPr>
        <w:t xml:space="preserve">Затраты на оплату услуг </w:t>
      </w:r>
      <w:r>
        <w:rPr>
          <w:rFonts w:ascii="Times New Roman" w:hAnsi="Times New Roman" w:eastAsia="Calibri" w:cs="Times New Roman"/>
          <w:sz w:val="28"/>
          <w:szCs w:val="28"/>
        </w:rPr>
        <w:t>по модернизации инвестиционного портала и инвестиционной карты Кировской области</w:t>
      </w:r>
      <w:r>
        <w:rPr>
          <w:rFonts w:ascii="Times New Roman" w:hAnsi="Times New Roman" w:cs="Times New Roman"/>
          <w:color w:val="000000"/>
          <w:sz w:val="28"/>
          <w:szCs w:val="28"/>
        </w:rPr>
        <w:t xml:space="preserve"> (Зм) определяются по формуле:</w:t>
      </w:r>
    </w:p>
    <w:p w14:paraId="31552BA3">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Зм = </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м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м, где</w:t>
      </w:r>
    </w:p>
    <w:p w14:paraId="6A98A789">
      <w:pPr>
        <w:rPr>
          <w:rFonts w:ascii="Times New Roman" w:hAnsi="Times New Roman" w:eastAsia="Calibri" w:cs="Times New Roman"/>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м- количество услуг по </w:t>
      </w:r>
      <w:bookmarkStart w:id="7" w:name="_Hlk149652809"/>
      <w:r>
        <w:rPr>
          <w:rFonts w:ascii="Times New Roman" w:hAnsi="Times New Roman" w:eastAsia="Calibri" w:cs="Times New Roman"/>
          <w:sz w:val="28"/>
          <w:szCs w:val="28"/>
        </w:rPr>
        <w:t>модернизации инвестиционного портала и инвестиционной карты Кировской области;</w:t>
      </w:r>
    </w:p>
    <w:bookmarkEnd w:id="7"/>
    <w:p w14:paraId="3C063B42">
      <w:pPr>
        <w:rPr>
          <w:rFonts w:ascii="Times New Roman" w:hAnsi="Times New Roman" w:eastAsia="Calibri" w:cs="Times New Roman"/>
          <w:sz w:val="28"/>
          <w:szCs w:val="28"/>
        </w:rPr>
      </w:pP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 xml:space="preserve">м – цена за услугу по </w:t>
      </w:r>
      <w:r>
        <w:rPr>
          <w:rFonts w:ascii="Times New Roman" w:hAnsi="Times New Roman" w:eastAsia="Calibri" w:cs="Times New Roman"/>
          <w:sz w:val="28"/>
          <w:szCs w:val="28"/>
        </w:rPr>
        <w:t>модернизации инвестиционного портала и инвестиционной карты Кировской области.</w:t>
      </w:r>
    </w:p>
    <w:p w14:paraId="27DB448D">
      <w:pPr>
        <w:rPr>
          <w:rFonts w:ascii="Times New Roman" w:hAnsi="Times New Roman" w:eastAsia="Calibri" w:cs="Times New Roman"/>
          <w:sz w:val="28"/>
          <w:szCs w:val="28"/>
        </w:rPr>
      </w:pPr>
    </w:p>
    <w:p w14:paraId="03308F5A">
      <w:pPr>
        <w:rPr>
          <w:rFonts w:ascii="Times New Roman" w:hAnsi="Times New Roman" w:eastAsia="Calibri" w:cs="Times New Roman"/>
          <w:sz w:val="28"/>
          <w:szCs w:val="28"/>
        </w:rPr>
      </w:pPr>
      <w:r>
        <w:rPr>
          <w:rFonts w:ascii="Times New Roman" w:hAnsi="Times New Roman" w:cs="Times New Roman"/>
          <w:color w:val="000000"/>
          <w:sz w:val="28"/>
          <w:szCs w:val="28"/>
        </w:rPr>
        <w:t xml:space="preserve">38. Нормативы, применяемые при расчете нормативных затрат на оплату услуг по </w:t>
      </w:r>
      <w:r>
        <w:rPr>
          <w:rFonts w:ascii="Times New Roman" w:hAnsi="Times New Roman" w:eastAsia="Calibri" w:cs="Times New Roman"/>
          <w:sz w:val="28"/>
          <w:szCs w:val="28"/>
        </w:rPr>
        <w:t>модернизации инвестиционного портала и инвестиционной карты Кировской области;</w:t>
      </w:r>
    </w:p>
    <w:p w14:paraId="7F342994">
      <w:pPr>
        <w:rPr>
          <w:rFonts w:ascii="Times New Roman" w:hAnsi="Times New Roman" w:eastAsia="Calibri" w:cs="Times New Roman"/>
          <w:sz w:val="28"/>
          <w:szCs w:val="28"/>
        </w:rPr>
      </w:pPr>
    </w:p>
    <w:p w14:paraId="5D131E52">
      <w:pPr>
        <w:rPr>
          <w:rFonts w:ascii="Times New Roman" w:hAnsi="Times New Roman" w:cs="Times New Roman"/>
          <w:color w:val="000000"/>
          <w:sz w:val="28"/>
          <w:szCs w:val="28"/>
        </w:rPr>
      </w:pPr>
      <w:r>
        <w:rPr>
          <w:rFonts w:ascii="Times New Roman" w:hAnsi="Times New Roman" w:cs="Times New Roman"/>
          <w:color w:val="000000"/>
          <w:sz w:val="28"/>
          <w:szCs w:val="28"/>
        </w:rPr>
        <w:t xml:space="preserve">Расчет затрат на оказание услуг по </w:t>
      </w:r>
      <w:r>
        <w:rPr>
          <w:rFonts w:ascii="Times New Roman" w:hAnsi="Times New Roman" w:eastAsia="Calibri" w:cs="Times New Roman"/>
          <w:sz w:val="28"/>
          <w:szCs w:val="28"/>
        </w:rPr>
        <w:t>модернизации инвестиционного портала и инвестиционной карты Кировской области</w:t>
      </w:r>
      <w:r>
        <w:rPr>
          <w:rFonts w:ascii="Times New Roman" w:hAnsi="Times New Roman" w:cs="Times New Roman"/>
          <w:color w:val="000000"/>
          <w:sz w:val="28"/>
          <w:szCs w:val="28"/>
        </w:rPr>
        <w:t xml:space="preserve"> производится в соответствии с нормативами согласно таблице №55.</w:t>
      </w:r>
    </w:p>
    <w:p w14:paraId="67006D9F">
      <w:pPr>
        <w:jc w:val="right"/>
        <w:rPr>
          <w:rFonts w:ascii="Times New Roman" w:hAnsi="Times New Roman" w:cs="Times New Roman"/>
          <w:color w:val="000000"/>
          <w:sz w:val="28"/>
          <w:szCs w:val="28"/>
        </w:rPr>
      </w:pPr>
    </w:p>
    <w:p w14:paraId="6D8001C5">
      <w:pPr>
        <w:jc w:val="right"/>
        <w:rPr>
          <w:rFonts w:ascii="Times New Roman" w:hAnsi="Times New Roman" w:cs="Times New Roman"/>
          <w:color w:val="000000"/>
          <w:sz w:val="28"/>
          <w:szCs w:val="28"/>
        </w:rPr>
      </w:pPr>
    </w:p>
    <w:p w14:paraId="7DCA28A9">
      <w:pPr>
        <w:jc w:val="right"/>
        <w:rPr>
          <w:rFonts w:ascii="Times New Roman" w:hAnsi="Times New Roman" w:cs="Times New Roman"/>
          <w:color w:val="000000"/>
          <w:sz w:val="28"/>
          <w:szCs w:val="28"/>
        </w:rPr>
      </w:pPr>
    </w:p>
    <w:p w14:paraId="332059B8">
      <w:pPr>
        <w:jc w:val="right"/>
        <w:rPr>
          <w:rFonts w:ascii="Times New Roman" w:hAnsi="Times New Roman" w:cs="Times New Roman"/>
          <w:color w:val="000000"/>
          <w:sz w:val="28"/>
          <w:szCs w:val="28"/>
        </w:rPr>
      </w:pPr>
      <w:r>
        <w:rPr>
          <w:rFonts w:ascii="Times New Roman" w:hAnsi="Times New Roman" w:cs="Times New Roman"/>
          <w:color w:val="000000"/>
          <w:sz w:val="28"/>
          <w:szCs w:val="28"/>
        </w:rPr>
        <w:t>Таблица №55.</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70"/>
        <w:gridCol w:w="4871"/>
      </w:tblGrid>
      <w:tr w14:paraId="04367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870" w:type="dxa"/>
          </w:tcPr>
          <w:p w14:paraId="0AD34B91">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w:t>
            </w:r>
            <w:r>
              <w:rPr>
                <w:rFonts w:ascii="Times New Roman" w:hAnsi="Times New Roman" w:eastAsia="Calibri" w:cs="Times New Roman"/>
                <w:sz w:val="28"/>
                <w:szCs w:val="28"/>
              </w:rPr>
              <w:t xml:space="preserve"> по модернизации инвестиционного портала и инвестиционной карты Кировской области в год</w:t>
            </w:r>
            <w:r>
              <w:rPr>
                <w:rFonts w:ascii="Times New Roman" w:hAnsi="Times New Roman" w:cs="Times New Roman"/>
                <w:color w:val="000000"/>
                <w:sz w:val="28"/>
                <w:szCs w:val="28"/>
              </w:rPr>
              <w:t xml:space="preserve"> </w:t>
            </w:r>
          </w:p>
        </w:tc>
        <w:tc>
          <w:tcPr>
            <w:tcW w:w="4871" w:type="dxa"/>
          </w:tcPr>
          <w:p w14:paraId="6706A009">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Цена за услугу по </w:t>
            </w:r>
            <w:r>
              <w:rPr>
                <w:rFonts w:ascii="Times New Roman" w:hAnsi="Times New Roman" w:eastAsia="Calibri" w:cs="Times New Roman"/>
                <w:sz w:val="28"/>
                <w:szCs w:val="28"/>
              </w:rPr>
              <w:t>модернизации инвестиционного портала и инвестиционной карты Кировской области (в рублях)</w:t>
            </w:r>
          </w:p>
        </w:tc>
      </w:tr>
      <w:tr w14:paraId="44DF2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0" w:type="dxa"/>
          </w:tcPr>
          <w:p w14:paraId="38DEE8A1">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5A8F41E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150 000,00</w:t>
            </w:r>
          </w:p>
        </w:tc>
      </w:tr>
    </w:tbl>
    <w:p w14:paraId="20B58FCD">
      <w:pPr>
        <w:jc w:val="center"/>
        <w:rPr>
          <w:rFonts w:ascii="Times New Roman" w:hAnsi="Times New Roman" w:cs="Times New Roman"/>
          <w:color w:val="000000"/>
          <w:sz w:val="28"/>
          <w:szCs w:val="28"/>
        </w:rPr>
      </w:pPr>
    </w:p>
    <w:p w14:paraId="3308ED44">
      <w:pPr>
        <w:rPr>
          <w:rFonts w:ascii="Times New Roman" w:hAnsi="Times New Roman" w:cs="Times New Roman"/>
          <w:color w:val="000000"/>
          <w:sz w:val="28"/>
          <w:szCs w:val="28"/>
        </w:rPr>
      </w:pPr>
      <w:r>
        <w:rPr>
          <w:rFonts w:ascii="Times New Roman" w:hAnsi="Times New Roman" w:cs="Times New Roman"/>
          <w:color w:val="000000"/>
          <w:sz w:val="28"/>
          <w:szCs w:val="28"/>
        </w:rPr>
        <w:t xml:space="preserve">39. Затраты подведомственного учреждения на оплату услуг </w:t>
      </w:r>
      <w:r>
        <w:rPr>
          <w:rFonts w:ascii="Times New Roman" w:hAnsi="Times New Roman" w:eastAsia="Calibri" w:cs="Times New Roman"/>
          <w:sz w:val="28"/>
          <w:szCs w:val="28"/>
        </w:rPr>
        <w:t xml:space="preserve">по </w:t>
      </w:r>
      <w:r>
        <w:rPr>
          <w:rFonts w:ascii="Times New Roman" w:hAnsi="Times New Roman" w:cs="Times New Roman"/>
          <w:sz w:val="28"/>
          <w:szCs w:val="28"/>
        </w:rPr>
        <w:t xml:space="preserve">таргетированному распространению информации в социальных сетях </w:t>
      </w:r>
      <w:r>
        <w:rPr>
          <w:rFonts w:ascii="Times New Roman" w:hAnsi="Times New Roman" w:cs="Times New Roman"/>
          <w:color w:val="000000"/>
          <w:sz w:val="28"/>
          <w:szCs w:val="28"/>
        </w:rPr>
        <w:t>(Зт) определяются по формуле:</w:t>
      </w:r>
    </w:p>
    <w:p w14:paraId="78831A2C">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Зт = </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т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т, где</w:t>
      </w:r>
    </w:p>
    <w:p w14:paraId="58900D55">
      <w:pPr>
        <w:rPr>
          <w:rFonts w:ascii="Times New Roman" w:hAnsi="Times New Roman" w:eastAsia="Calibri" w:cs="Times New Roman"/>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т- количество услуг </w:t>
      </w:r>
      <w:bookmarkStart w:id="8" w:name="_Hlk149653349"/>
      <w:r>
        <w:rPr>
          <w:rFonts w:ascii="Times New Roman" w:hAnsi="Times New Roman" w:eastAsia="Calibri" w:cs="Times New Roman"/>
          <w:sz w:val="28"/>
          <w:szCs w:val="28"/>
        </w:rPr>
        <w:t xml:space="preserve">по </w:t>
      </w:r>
      <w:r>
        <w:rPr>
          <w:rFonts w:ascii="Times New Roman" w:hAnsi="Times New Roman" w:cs="Times New Roman"/>
          <w:sz w:val="28"/>
          <w:szCs w:val="28"/>
        </w:rPr>
        <w:t>таргетированному распространению информации в социальных сетях;</w:t>
      </w:r>
    </w:p>
    <w:bookmarkEnd w:id="8"/>
    <w:p w14:paraId="3885E353">
      <w:pPr>
        <w:rPr>
          <w:rFonts w:ascii="Times New Roman" w:hAnsi="Times New Roman" w:cs="Times New Roman"/>
          <w:color w:val="000000"/>
          <w:sz w:val="28"/>
          <w:szCs w:val="28"/>
        </w:rPr>
      </w:pP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т – цена за услугу по</w:t>
      </w:r>
      <w:r>
        <w:rPr>
          <w:rFonts w:ascii="Times New Roman" w:hAnsi="Times New Roman" w:eastAsia="Calibri" w:cs="Times New Roman"/>
          <w:sz w:val="28"/>
          <w:szCs w:val="28"/>
        </w:rPr>
        <w:t xml:space="preserve"> </w:t>
      </w:r>
      <w:r>
        <w:rPr>
          <w:rFonts w:ascii="Times New Roman" w:hAnsi="Times New Roman" w:cs="Times New Roman"/>
          <w:sz w:val="28"/>
          <w:szCs w:val="28"/>
        </w:rPr>
        <w:t>таргетированному распространению информации в социальных сетях.</w:t>
      </w:r>
    </w:p>
    <w:p w14:paraId="7CD24BF0">
      <w:pPr>
        <w:rPr>
          <w:rFonts w:ascii="Times New Roman" w:hAnsi="Times New Roman" w:eastAsia="Calibri" w:cs="Times New Roman"/>
          <w:sz w:val="28"/>
          <w:szCs w:val="28"/>
        </w:rPr>
      </w:pPr>
      <w:r>
        <w:rPr>
          <w:rFonts w:ascii="Times New Roman" w:hAnsi="Times New Roman" w:eastAsia="Calibri" w:cs="Times New Roman"/>
          <w:sz w:val="28"/>
          <w:szCs w:val="28"/>
        </w:rPr>
        <w:t xml:space="preserve">40. </w:t>
      </w:r>
      <w:r>
        <w:rPr>
          <w:rFonts w:ascii="Times New Roman" w:hAnsi="Times New Roman" w:cs="Times New Roman"/>
          <w:color w:val="000000"/>
          <w:sz w:val="28"/>
          <w:szCs w:val="28"/>
        </w:rPr>
        <w:t xml:space="preserve">Нормативы, применяемые при расчете нормативных затрат на оплату услуг по </w:t>
      </w:r>
      <w:r>
        <w:rPr>
          <w:rFonts w:ascii="Times New Roman" w:hAnsi="Times New Roman" w:cs="Times New Roman"/>
          <w:sz w:val="28"/>
          <w:szCs w:val="28"/>
        </w:rPr>
        <w:t>таргетированному распространению информации в социальных сетях;</w:t>
      </w:r>
    </w:p>
    <w:p w14:paraId="363D9627">
      <w:pPr>
        <w:rPr>
          <w:rFonts w:ascii="Times New Roman" w:hAnsi="Times New Roman" w:cs="Times New Roman"/>
          <w:color w:val="000000"/>
          <w:sz w:val="28"/>
          <w:szCs w:val="28"/>
        </w:rPr>
      </w:pPr>
      <w:r>
        <w:rPr>
          <w:rFonts w:ascii="Times New Roman" w:hAnsi="Times New Roman" w:cs="Times New Roman"/>
          <w:color w:val="000000"/>
          <w:sz w:val="28"/>
          <w:szCs w:val="28"/>
        </w:rPr>
        <w:t xml:space="preserve">Расчет затрат на оказание услуг по </w:t>
      </w:r>
      <w:r>
        <w:rPr>
          <w:rFonts w:ascii="Times New Roman" w:hAnsi="Times New Roman" w:cs="Times New Roman"/>
          <w:sz w:val="28"/>
          <w:szCs w:val="28"/>
        </w:rPr>
        <w:t>таргетированному распространению информации в социальных сетях производится</w:t>
      </w:r>
      <w:r>
        <w:rPr>
          <w:rFonts w:ascii="Times New Roman" w:hAnsi="Times New Roman" w:cs="Times New Roman"/>
          <w:color w:val="000000"/>
          <w:sz w:val="28"/>
          <w:szCs w:val="28"/>
        </w:rPr>
        <w:t xml:space="preserve"> в соответствии с нормативами согласно таблице №56.</w:t>
      </w:r>
    </w:p>
    <w:p w14:paraId="56C6CD16">
      <w:pPr>
        <w:jc w:val="right"/>
        <w:rPr>
          <w:rFonts w:ascii="Times New Roman" w:hAnsi="Times New Roman" w:eastAsia="Calibri" w:cs="Times New Roman"/>
          <w:sz w:val="28"/>
          <w:szCs w:val="28"/>
        </w:rPr>
      </w:pPr>
      <w:r>
        <w:rPr>
          <w:rFonts w:ascii="Times New Roman" w:hAnsi="Times New Roman" w:eastAsia="Calibri" w:cs="Times New Roman"/>
          <w:sz w:val="28"/>
          <w:szCs w:val="28"/>
        </w:rPr>
        <w:t>Таблица №56.</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70"/>
        <w:gridCol w:w="4871"/>
      </w:tblGrid>
      <w:tr w14:paraId="32D22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0" w:type="dxa"/>
          </w:tcPr>
          <w:p w14:paraId="2B7754F4">
            <w:pPr>
              <w:spacing w:after="0" w:line="240"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Количество услуг по </w:t>
            </w:r>
            <w:r>
              <w:rPr>
                <w:rFonts w:ascii="Times New Roman" w:hAnsi="Times New Roman" w:cs="Times New Roman"/>
                <w:sz w:val="28"/>
                <w:szCs w:val="28"/>
              </w:rPr>
              <w:t>таргетированному распространению информации в социальных сетях в год</w:t>
            </w:r>
          </w:p>
        </w:tc>
        <w:tc>
          <w:tcPr>
            <w:tcW w:w="4871" w:type="dxa"/>
          </w:tcPr>
          <w:p w14:paraId="1C02CF2A">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Цена за услугу по </w:t>
            </w:r>
            <w:r>
              <w:rPr>
                <w:rFonts w:ascii="Times New Roman" w:hAnsi="Times New Roman" w:cs="Times New Roman"/>
                <w:sz w:val="28"/>
                <w:szCs w:val="28"/>
              </w:rPr>
              <w:t>таргетированному распространению информации в социальных сетях (в рублях)</w:t>
            </w:r>
          </w:p>
        </w:tc>
      </w:tr>
      <w:tr w14:paraId="6EECD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0" w:type="dxa"/>
          </w:tcPr>
          <w:p w14:paraId="43FEB427">
            <w:pPr>
              <w:spacing w:after="0" w:line="240" w:lineRule="auto"/>
              <w:jc w:val="center"/>
              <w:rPr>
                <w:rFonts w:ascii="Times New Roman" w:hAnsi="Times New Roman" w:eastAsia="Calibri" w:cs="Times New Roman"/>
                <w:sz w:val="28"/>
                <w:szCs w:val="28"/>
              </w:rPr>
            </w:pPr>
            <w:r>
              <w:rPr>
                <w:rFonts w:ascii="Times New Roman" w:hAnsi="Times New Roman" w:eastAsia="Calibri" w:cs="Times New Roman"/>
                <w:sz w:val="28"/>
                <w:szCs w:val="28"/>
              </w:rPr>
              <w:t>не более 1</w:t>
            </w:r>
          </w:p>
        </w:tc>
        <w:tc>
          <w:tcPr>
            <w:tcW w:w="4871" w:type="dxa"/>
          </w:tcPr>
          <w:p w14:paraId="1D520740">
            <w:pPr>
              <w:spacing w:after="0" w:line="240" w:lineRule="auto"/>
              <w:jc w:val="center"/>
              <w:rPr>
                <w:rFonts w:ascii="Times New Roman" w:hAnsi="Times New Roman" w:eastAsia="Calibri" w:cs="Times New Roman"/>
                <w:sz w:val="28"/>
                <w:szCs w:val="28"/>
              </w:rPr>
            </w:pPr>
            <w:r>
              <w:rPr>
                <w:rFonts w:ascii="Times New Roman" w:hAnsi="Times New Roman" w:eastAsia="Calibri" w:cs="Times New Roman"/>
                <w:sz w:val="28"/>
                <w:szCs w:val="28"/>
              </w:rPr>
              <w:t>не более 50 000,00</w:t>
            </w:r>
          </w:p>
        </w:tc>
      </w:tr>
    </w:tbl>
    <w:p w14:paraId="295C5FC1">
      <w:pPr>
        <w:rPr>
          <w:rFonts w:ascii="Times New Roman" w:hAnsi="Times New Roman" w:eastAsia="Calibri" w:cs="Times New Roman"/>
          <w:sz w:val="28"/>
          <w:szCs w:val="28"/>
        </w:rPr>
      </w:pPr>
    </w:p>
    <w:p w14:paraId="6079F2D7">
      <w:pPr>
        <w:tabs>
          <w:tab w:val="left" w:pos="6795"/>
        </w:tabs>
        <w:rPr>
          <w:rFonts w:ascii="Times New Roman" w:hAnsi="Times New Roman" w:cs="Times New Roman"/>
          <w:sz w:val="28"/>
          <w:szCs w:val="28"/>
        </w:rPr>
      </w:pPr>
      <w:r>
        <w:rPr>
          <w:rFonts w:ascii="Times New Roman" w:hAnsi="Times New Roman" w:cs="Times New Roman"/>
          <w:sz w:val="28"/>
          <w:szCs w:val="28"/>
        </w:rPr>
        <w:t>Оборудование для проведения мероприятий:</w:t>
      </w:r>
    </w:p>
    <w:tbl>
      <w:tblPr>
        <w:tblStyle w:val="37"/>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1"/>
        <w:gridCol w:w="3261"/>
        <w:gridCol w:w="1955"/>
      </w:tblGrid>
      <w:tr w14:paraId="69E9A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tcPr>
          <w:p w14:paraId="5B8C694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Наименование </w:t>
            </w:r>
          </w:p>
        </w:tc>
        <w:tc>
          <w:tcPr>
            <w:tcW w:w="3261" w:type="dxa"/>
          </w:tcPr>
          <w:p w14:paraId="34AEA5E6">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Норматив количества в год </w:t>
            </w:r>
          </w:p>
        </w:tc>
        <w:tc>
          <w:tcPr>
            <w:tcW w:w="1955" w:type="dxa"/>
          </w:tcPr>
          <w:p w14:paraId="2B1F46BE">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14:paraId="6020F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7" w:type="dxa"/>
            <w:gridSpan w:val="3"/>
          </w:tcPr>
          <w:p w14:paraId="4E319B55">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учреждение</w:t>
            </w:r>
          </w:p>
        </w:tc>
      </w:tr>
      <w:tr w14:paraId="41E4A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tcPr>
          <w:p w14:paraId="6ADFC114">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3261" w:type="dxa"/>
          </w:tcPr>
          <w:p w14:paraId="24FF1D12">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955" w:type="dxa"/>
          </w:tcPr>
          <w:p w14:paraId="6A0AF84E">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r>
      <w:tr w14:paraId="1B429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tcPr>
          <w:p w14:paraId="7CF77574">
            <w:pPr>
              <w:widowControl w:val="0"/>
              <w:autoSpaceDE w:val="0"/>
              <w:autoSpaceDN w:val="0"/>
              <w:adjustRightInd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Телевизор</w:t>
            </w:r>
          </w:p>
        </w:tc>
        <w:tc>
          <w:tcPr>
            <w:tcW w:w="3261" w:type="dxa"/>
          </w:tcPr>
          <w:p w14:paraId="3C61DFD2">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 штуки </w:t>
            </w:r>
          </w:p>
        </w:tc>
        <w:tc>
          <w:tcPr>
            <w:tcW w:w="1955" w:type="dxa"/>
          </w:tcPr>
          <w:p w14:paraId="23FBECF5">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p>
          <w:p w14:paraId="11D45EB9">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180 000,00</w:t>
            </w:r>
          </w:p>
        </w:tc>
      </w:tr>
      <w:tr w14:paraId="440C7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tcPr>
          <w:p w14:paraId="7F421C1B">
            <w:pPr>
              <w:widowControl w:val="0"/>
              <w:autoSpaceDE w:val="0"/>
              <w:autoSpaceDN w:val="0"/>
              <w:adjustRightInd w:val="0"/>
              <w:spacing w:after="0" w:line="240" w:lineRule="auto"/>
              <w:rPr>
                <w:rFonts w:ascii="Times New Roman" w:hAnsi="Times New Roman" w:eastAsia="Times New Roman" w:cs="Times New Roman"/>
                <w:sz w:val="28"/>
                <w:szCs w:val="28"/>
                <w:lang w:eastAsia="ru-RU"/>
              </w:rPr>
            </w:pPr>
            <w:r>
              <w:rPr>
                <w:rFonts w:ascii="Times New Roman" w:hAnsi="Times New Roman" w:cs="Times New Roman"/>
                <w:color w:val="334059"/>
                <w:sz w:val="26"/>
                <w:szCs w:val="26"/>
                <w:shd w:val="clear" w:color="auto" w:fill="FFFFFF"/>
              </w:rPr>
              <w:t>Стойка для презентационного оборудования</w:t>
            </w:r>
          </w:p>
        </w:tc>
        <w:tc>
          <w:tcPr>
            <w:tcW w:w="3261" w:type="dxa"/>
          </w:tcPr>
          <w:p w14:paraId="263D382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единицу техники</w:t>
            </w:r>
          </w:p>
        </w:tc>
        <w:tc>
          <w:tcPr>
            <w:tcW w:w="1955" w:type="dxa"/>
          </w:tcPr>
          <w:p w14:paraId="15A05C95">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14:paraId="616EB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tcPr>
          <w:p w14:paraId="2C79B5F5">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lang w:val="en-US"/>
              </w:rPr>
              <w:t>PTZ</w:t>
            </w:r>
            <w:r>
              <w:rPr>
                <w:rFonts w:ascii="Times New Roman" w:hAnsi="Times New Roman" w:cs="Times New Roman"/>
                <w:sz w:val="28"/>
                <w:szCs w:val="28"/>
              </w:rPr>
              <w:t>-камера</w:t>
            </w:r>
          </w:p>
        </w:tc>
        <w:tc>
          <w:tcPr>
            <w:tcW w:w="3261" w:type="dxa"/>
          </w:tcPr>
          <w:p w14:paraId="54463D16">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2 штук </w:t>
            </w:r>
          </w:p>
        </w:tc>
        <w:tc>
          <w:tcPr>
            <w:tcW w:w="1955" w:type="dxa"/>
          </w:tcPr>
          <w:p w14:paraId="3E8883A9">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p>
          <w:p w14:paraId="25A260F7">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180 000,00</w:t>
            </w:r>
          </w:p>
        </w:tc>
      </w:tr>
      <w:tr w14:paraId="73E11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tcPr>
          <w:p w14:paraId="5AD5A40D">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Радиосистема (микрофон ручной)</w:t>
            </w:r>
          </w:p>
        </w:tc>
        <w:tc>
          <w:tcPr>
            <w:tcW w:w="3261" w:type="dxa"/>
          </w:tcPr>
          <w:p w14:paraId="51037BFC">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4 штук </w:t>
            </w:r>
          </w:p>
        </w:tc>
        <w:tc>
          <w:tcPr>
            <w:tcW w:w="1955" w:type="dxa"/>
          </w:tcPr>
          <w:p w14:paraId="7A8E4CFF">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p>
          <w:p w14:paraId="0DB856A8">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15 000,00</w:t>
            </w:r>
          </w:p>
        </w:tc>
      </w:tr>
      <w:tr w14:paraId="12A40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tcPr>
          <w:p w14:paraId="1C7948A1">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Петличная радиосистема</w:t>
            </w:r>
          </w:p>
        </w:tc>
        <w:tc>
          <w:tcPr>
            <w:tcW w:w="3261" w:type="dxa"/>
          </w:tcPr>
          <w:p w14:paraId="73E3FD76">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4 штук </w:t>
            </w:r>
          </w:p>
        </w:tc>
        <w:tc>
          <w:tcPr>
            <w:tcW w:w="1955" w:type="dxa"/>
          </w:tcPr>
          <w:p w14:paraId="517070E4">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p>
          <w:p w14:paraId="0C7F81D2">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50 000,00</w:t>
            </w:r>
          </w:p>
        </w:tc>
      </w:tr>
      <w:tr w14:paraId="20030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tcPr>
          <w:p w14:paraId="390B2339">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Презентер</w:t>
            </w:r>
          </w:p>
        </w:tc>
        <w:tc>
          <w:tcPr>
            <w:tcW w:w="3261" w:type="dxa"/>
          </w:tcPr>
          <w:p w14:paraId="7B530B82">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штук</w:t>
            </w:r>
          </w:p>
        </w:tc>
        <w:tc>
          <w:tcPr>
            <w:tcW w:w="1955" w:type="dxa"/>
          </w:tcPr>
          <w:p w14:paraId="2602AFE3">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p>
          <w:p w14:paraId="3BED7735">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5 000,00</w:t>
            </w:r>
          </w:p>
        </w:tc>
      </w:tr>
      <w:tr w14:paraId="39B5D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tcPr>
          <w:p w14:paraId="2EEB19F2">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Микшерный пульт</w:t>
            </w:r>
          </w:p>
        </w:tc>
        <w:tc>
          <w:tcPr>
            <w:tcW w:w="3261" w:type="dxa"/>
          </w:tcPr>
          <w:p w14:paraId="0C4F1708">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штук</w:t>
            </w:r>
          </w:p>
        </w:tc>
        <w:tc>
          <w:tcPr>
            <w:tcW w:w="1955" w:type="dxa"/>
          </w:tcPr>
          <w:p w14:paraId="1FC73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p>
          <w:p w14:paraId="513357A3">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50 000,00</w:t>
            </w:r>
          </w:p>
        </w:tc>
      </w:tr>
      <w:tr w14:paraId="7688E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tcPr>
          <w:p w14:paraId="5B01736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Акустическая система </w:t>
            </w:r>
          </w:p>
        </w:tc>
        <w:tc>
          <w:tcPr>
            <w:tcW w:w="3261" w:type="dxa"/>
          </w:tcPr>
          <w:p w14:paraId="61B597B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 штук</w:t>
            </w:r>
          </w:p>
        </w:tc>
        <w:tc>
          <w:tcPr>
            <w:tcW w:w="1955" w:type="dxa"/>
          </w:tcPr>
          <w:p w14:paraId="4342AF8D">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p>
          <w:p w14:paraId="0E8A9BD5">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50 000,00</w:t>
            </w:r>
          </w:p>
        </w:tc>
      </w:tr>
    </w:tbl>
    <w:p w14:paraId="20F7E3C4">
      <w:pPr>
        <w:rPr>
          <w:rFonts w:ascii="Times New Roman" w:hAnsi="Times New Roman" w:eastAsia="Times New Roman" w:cs="Times New Roman"/>
          <w:sz w:val="24"/>
          <w:szCs w:val="24"/>
          <w:lang w:eastAsia="ru-RU"/>
        </w:rPr>
      </w:pPr>
      <w:r>
        <w:rPr>
          <w:rFonts w:ascii="Times New Roman" w:hAnsi="Times New Roman" w:eastAsia="Times New Roman" w:cs="Times New Roman"/>
          <w:sz w:val="28"/>
          <w:szCs w:val="28"/>
          <w:lang w:eastAsia="ru-RU"/>
        </w:rPr>
        <w:t>*</w:t>
      </w:r>
      <w:r>
        <w:rPr>
          <w:rFonts w:ascii="Times New Roman" w:hAnsi="Times New Roman" w:eastAsia="Times New Roman" w:cs="Times New Roman"/>
          <w:sz w:val="24"/>
          <w:szCs w:val="24"/>
          <w:lang w:eastAsia="ru-RU"/>
        </w:rPr>
        <w:t>Количество и наименование хозяйственных товаров, принадлежностей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и учреждения.</w:t>
      </w:r>
    </w:p>
    <w:p w14:paraId="667B2247">
      <w:pPr>
        <w:widowControl w:val="0"/>
        <w:autoSpaceDE w:val="0"/>
        <w:autoSpaceDN w:val="0"/>
        <w:spacing w:before="240" w:after="0" w:line="360" w:lineRule="auto"/>
        <w:ind w:firstLine="709"/>
        <w:jc w:val="both"/>
        <w:rPr>
          <w:rFonts w:ascii="Times New Roman" w:hAnsi="Times New Roman" w:eastAsia="Times New Roman" w:cs="Times New Roman"/>
          <w:sz w:val="28"/>
          <w:szCs w:val="28"/>
          <w:lang w:eastAsia="ru-RU"/>
        </w:rPr>
      </w:pPr>
      <w:r>
        <w:rPr>
          <w:rFonts w:ascii="Times New Roman" w:hAnsi="Times New Roman" w:cs="Times New Roman"/>
          <w:sz w:val="28"/>
          <w:szCs w:val="28"/>
        </w:rPr>
        <w:t xml:space="preserve">41. </w:t>
      </w:r>
      <w:r>
        <w:rPr>
          <w:rFonts w:ascii="Times New Roman" w:hAnsi="Times New Roman" w:eastAsia="Times New Roman" w:cs="Times New Roman"/>
          <w:sz w:val="28"/>
          <w:szCs w:val="28"/>
          <w:lang w:eastAsia="ru-RU"/>
        </w:rPr>
        <w:t>Затраты на оплату услуг по разводке линий телефонии подведомственного учреждения (Зр) определяется по формуле:</w:t>
      </w:r>
    </w:p>
    <w:p w14:paraId="1CDEF23C">
      <w:pPr>
        <w:widowControl w:val="0"/>
        <w:autoSpaceDE w:val="0"/>
        <w:autoSpaceDN w:val="0"/>
        <w:spacing w:before="240" w:after="0" w:line="36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Зр= </w:t>
      </w:r>
      <w:r>
        <w:rPr>
          <w:rFonts w:ascii="Times New Roman" w:hAnsi="Times New Roman" w:eastAsia="Times New Roman" w:cs="Times New Roman"/>
          <w:sz w:val="28"/>
          <w:szCs w:val="28"/>
          <w:lang w:val="en-US" w:eastAsia="ru-RU"/>
        </w:rPr>
        <w:t>Q</w:t>
      </w:r>
      <w:r>
        <w:rPr>
          <w:rFonts w:ascii="Times New Roman" w:hAnsi="Times New Roman" w:eastAsia="Times New Roman" w:cs="Times New Roman"/>
          <w:sz w:val="28"/>
          <w:szCs w:val="28"/>
          <w:lang w:eastAsia="ru-RU"/>
        </w:rPr>
        <w:t xml:space="preserve">р </w:t>
      </w:r>
      <w:r>
        <w:rPr>
          <w:rFonts w:ascii="Times New Roman" w:hAnsi="Times New Roman" w:eastAsia="Times New Roman" w:cs="Times New Roman"/>
          <w:sz w:val="28"/>
          <w:szCs w:val="28"/>
          <w:lang w:val="en-US" w:eastAsia="ru-RU"/>
        </w:rPr>
        <w:t>x</w:t>
      </w:r>
      <w:r>
        <w:rPr>
          <w:rFonts w:ascii="Times New Roman" w:hAnsi="Times New Roman" w:eastAsia="Times New Roman" w:cs="Times New Roman"/>
          <w:sz w:val="28"/>
          <w:szCs w:val="28"/>
          <w:lang w:eastAsia="ru-RU"/>
        </w:rPr>
        <w:t xml:space="preserve"> Рр, где</w:t>
      </w:r>
    </w:p>
    <w:p w14:paraId="2FFFA59D">
      <w:pPr>
        <w:widowControl w:val="0"/>
        <w:autoSpaceDE w:val="0"/>
        <w:autoSpaceDN w:val="0"/>
        <w:spacing w:before="240" w:after="0" w:line="36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val="en-US" w:eastAsia="ru-RU"/>
        </w:rPr>
        <w:t>Q</w:t>
      </w:r>
      <w:r>
        <w:rPr>
          <w:rFonts w:ascii="Times New Roman" w:hAnsi="Times New Roman" w:eastAsia="Times New Roman" w:cs="Times New Roman"/>
          <w:sz w:val="28"/>
          <w:szCs w:val="28"/>
          <w:lang w:eastAsia="ru-RU"/>
        </w:rPr>
        <w:t>р- количество услуг по разводке линий телефонии,</w:t>
      </w:r>
    </w:p>
    <w:p w14:paraId="7D814C40">
      <w:pPr>
        <w:widowControl w:val="0"/>
        <w:autoSpaceDE w:val="0"/>
        <w:autoSpaceDN w:val="0"/>
        <w:spacing w:before="240" w:after="0" w:line="36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Рр- цена предоставления услуг по разводке линий телефонии.</w:t>
      </w:r>
    </w:p>
    <w:p w14:paraId="645739BF">
      <w:pPr>
        <w:widowControl w:val="0"/>
        <w:autoSpaceDE w:val="0"/>
        <w:autoSpaceDN w:val="0"/>
        <w:spacing w:before="240" w:after="0" w:line="36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Расчет затрат производится в соответствии с нормативами согласно таблице     57.</w:t>
      </w:r>
    </w:p>
    <w:p w14:paraId="014F3007">
      <w:pPr>
        <w:widowControl w:val="0"/>
        <w:autoSpaceDE w:val="0"/>
        <w:autoSpaceDN w:val="0"/>
        <w:spacing w:before="240" w:after="0" w:line="36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Таблица № 57                                                                      </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70"/>
        <w:gridCol w:w="4871"/>
      </w:tblGrid>
      <w:tr w14:paraId="59CC0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0" w:type="dxa"/>
          </w:tcPr>
          <w:p w14:paraId="55F235A3">
            <w:pPr>
              <w:widowControl w:val="0"/>
              <w:autoSpaceDE w:val="0"/>
              <w:autoSpaceDN w:val="0"/>
              <w:spacing w:before="240" w:after="0" w:line="36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Количество услуг по разводке линий телефонии в год</w:t>
            </w:r>
          </w:p>
        </w:tc>
        <w:tc>
          <w:tcPr>
            <w:tcW w:w="4871" w:type="dxa"/>
          </w:tcPr>
          <w:p w14:paraId="480097CA">
            <w:pPr>
              <w:widowControl w:val="0"/>
              <w:autoSpaceDE w:val="0"/>
              <w:autoSpaceDN w:val="0"/>
              <w:spacing w:before="240" w:after="0" w:line="36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Цена предоставления услуги по разводке линий телефонии, в рублях</w:t>
            </w:r>
          </w:p>
        </w:tc>
      </w:tr>
      <w:tr w14:paraId="60CD9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0" w:type="dxa"/>
          </w:tcPr>
          <w:p w14:paraId="029E5F1F">
            <w:pPr>
              <w:widowControl w:val="0"/>
              <w:autoSpaceDE w:val="0"/>
              <w:autoSpaceDN w:val="0"/>
              <w:spacing w:before="240" w:after="0" w:line="36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не более 1</w:t>
            </w:r>
          </w:p>
        </w:tc>
        <w:tc>
          <w:tcPr>
            <w:tcW w:w="4871" w:type="dxa"/>
          </w:tcPr>
          <w:p w14:paraId="10B3E7BB">
            <w:pPr>
              <w:widowControl w:val="0"/>
              <w:autoSpaceDE w:val="0"/>
              <w:autoSpaceDN w:val="0"/>
              <w:spacing w:before="240" w:after="0" w:line="36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не более 7 700,00</w:t>
            </w:r>
          </w:p>
        </w:tc>
      </w:tr>
    </w:tbl>
    <w:p w14:paraId="4E9EE1CF">
      <w:pPr>
        <w:tabs>
          <w:tab w:val="left" w:pos="6795"/>
        </w:tabs>
        <w:rPr>
          <w:rFonts w:ascii="Times New Roman" w:hAnsi="Times New Roman" w:cs="Times New Roman"/>
          <w:sz w:val="28"/>
          <w:szCs w:val="28"/>
        </w:rPr>
      </w:pPr>
    </w:p>
    <w:p w14:paraId="365C173A">
      <w:pPr>
        <w:tabs>
          <w:tab w:val="left" w:pos="6795"/>
        </w:tabs>
        <w:rPr>
          <w:rFonts w:ascii="Times New Roman" w:hAnsi="Times New Roman" w:cs="Times New Roman"/>
          <w:sz w:val="28"/>
          <w:szCs w:val="28"/>
        </w:rPr>
      </w:pPr>
      <w:r>
        <w:rPr>
          <w:rFonts w:ascii="Times New Roman" w:hAnsi="Times New Roman" w:cs="Times New Roman"/>
          <w:sz w:val="28"/>
          <w:szCs w:val="28"/>
        </w:rPr>
        <w:t>42. Затраты подведомственного учреждения на оплату услуг по аренде выставочной площади (не менее 70м2) для размещения выставочной экспозиции Кировской области на Выставке, проводимой в рамках Петербургского международного экономического форума-2024 (За) определяются по формуле:</w:t>
      </w:r>
    </w:p>
    <w:p w14:paraId="721A95C0">
      <w:pPr>
        <w:tabs>
          <w:tab w:val="left" w:pos="6795"/>
        </w:tabs>
        <w:rPr>
          <w:rFonts w:ascii="Times New Roman" w:hAnsi="Times New Roman" w:cs="Times New Roman"/>
          <w:sz w:val="28"/>
          <w:szCs w:val="28"/>
        </w:rPr>
      </w:pPr>
      <w:r>
        <w:rPr>
          <w:rFonts w:ascii="Times New Roman" w:hAnsi="Times New Roman" w:cs="Times New Roman"/>
          <w:sz w:val="28"/>
          <w:szCs w:val="28"/>
        </w:rPr>
        <w:t>За=</w:t>
      </w:r>
      <w:r>
        <w:rPr>
          <w:rFonts w:ascii="Times New Roman" w:hAnsi="Times New Roman" w:cs="Times New Roman"/>
          <w:sz w:val="28"/>
          <w:szCs w:val="28"/>
          <w:lang w:val="en-US"/>
        </w:rPr>
        <w:t>Q</w:t>
      </w:r>
      <w:r>
        <w:rPr>
          <w:rFonts w:ascii="Times New Roman" w:hAnsi="Times New Roman" w:cs="Times New Roman"/>
          <w:sz w:val="28"/>
          <w:szCs w:val="28"/>
        </w:rPr>
        <w:t xml:space="preserve">а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а, где</w:t>
      </w:r>
    </w:p>
    <w:p w14:paraId="53953E25">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а – количество услуг на аренду выставочной площади для размещения выставочной экспозиции Кировской области на Выставке, проводимой в рамках Петербургского международного экономического форума-2024;</w:t>
      </w:r>
    </w:p>
    <w:p w14:paraId="23D1AF6C">
      <w:pPr>
        <w:tabs>
          <w:tab w:val="left" w:pos="6795"/>
        </w:tabs>
        <w:rPr>
          <w:rFonts w:ascii="Times New Roman" w:hAnsi="Times New Roman" w:cs="Times New Roman"/>
          <w:sz w:val="28"/>
          <w:szCs w:val="28"/>
        </w:rPr>
      </w:pPr>
      <w:r>
        <w:rPr>
          <w:rFonts w:ascii="Times New Roman" w:hAnsi="Times New Roman" w:cs="Times New Roman"/>
          <w:sz w:val="28"/>
          <w:szCs w:val="28"/>
        </w:rPr>
        <w:t>Ра – цена услуг на аренду выставочной площади для размещения выставочной экспозиции Кировской области на Выставке, проводимой в рамках Петербургского международного экономического форума-2024.</w:t>
      </w:r>
    </w:p>
    <w:p w14:paraId="03DD73EA">
      <w:pPr>
        <w:tabs>
          <w:tab w:val="left" w:pos="6795"/>
        </w:tabs>
        <w:rPr>
          <w:rFonts w:ascii="Times New Roman" w:hAnsi="Times New Roman" w:cs="Times New Roman"/>
          <w:sz w:val="28"/>
          <w:szCs w:val="28"/>
        </w:rPr>
      </w:pPr>
      <w:bookmarkStart w:id="9" w:name="_Hlk162942137"/>
      <w:r>
        <w:rPr>
          <w:rFonts w:ascii="Times New Roman" w:hAnsi="Times New Roman" w:cs="Times New Roman"/>
          <w:sz w:val="28"/>
          <w:szCs w:val="28"/>
        </w:rPr>
        <w:t>Расчет затрат на аренду выставочной площади для размещения экспозиции Кировской области на Выставке, проводимой в рамках Петербургского международного экономического форума-2024 производится в соответствии с нормативами согласно таблице №58.</w:t>
      </w:r>
    </w:p>
    <w:p w14:paraId="0322A498">
      <w:pPr>
        <w:tabs>
          <w:tab w:val="left" w:pos="6795"/>
        </w:tabs>
        <w:rPr>
          <w:rFonts w:ascii="Times New Roman" w:hAnsi="Times New Roman" w:cs="Times New Roman"/>
          <w:sz w:val="28"/>
          <w:szCs w:val="28"/>
        </w:rPr>
      </w:pPr>
      <w:r>
        <w:rPr>
          <w:rFonts w:ascii="Times New Roman" w:hAnsi="Times New Roman" w:cs="Times New Roman"/>
          <w:sz w:val="28"/>
          <w:szCs w:val="28"/>
        </w:rPr>
        <w:t xml:space="preserve">                                                                                                                Таблица №58.</w:t>
      </w:r>
    </w:p>
    <w:bookmarkEnd w:id="9"/>
    <w:p w14:paraId="2A1936D6">
      <w:pPr>
        <w:tabs>
          <w:tab w:val="left" w:pos="6795"/>
        </w:tabs>
        <w:rPr>
          <w:rFonts w:ascii="Times New Roman" w:hAnsi="Times New Roman" w:cs="Times New Roman"/>
          <w:sz w:val="28"/>
          <w:szCs w:val="28"/>
        </w:rPr>
      </w:pPr>
      <w:r>
        <w:rPr>
          <w:rFonts w:ascii="Times New Roman" w:hAnsi="Times New Roman" w:cs="Times New Roman"/>
          <w:sz w:val="28"/>
          <w:szCs w:val="28"/>
        </w:rPr>
        <w:t xml:space="preserve"> </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70"/>
        <w:gridCol w:w="4871"/>
      </w:tblGrid>
      <w:tr w14:paraId="66AA6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0" w:type="dxa"/>
          </w:tcPr>
          <w:p w14:paraId="6C9D8843">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услуг на аренду выставочной площади для размещения экспозиции Кировской области на Выставке, проводимой в рамках Петербургского международного экономического форума-2024 в год</w:t>
            </w:r>
          </w:p>
        </w:tc>
        <w:tc>
          <w:tcPr>
            <w:tcW w:w="4871" w:type="dxa"/>
          </w:tcPr>
          <w:p w14:paraId="72815518">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Цена предоставления услуг на аренду выставочной площади для размещения экспозиции Кировской области на выставке, проводимо в рамках Петербургского международного форума -2024 (рублей)</w:t>
            </w:r>
          </w:p>
        </w:tc>
      </w:tr>
      <w:tr w14:paraId="17ED2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0" w:type="dxa"/>
          </w:tcPr>
          <w:p w14:paraId="31AA4BCC">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4871" w:type="dxa"/>
          </w:tcPr>
          <w:p w14:paraId="6D2AA447">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17 010 000,00</w:t>
            </w:r>
          </w:p>
        </w:tc>
      </w:tr>
    </w:tbl>
    <w:p w14:paraId="18FE1A84">
      <w:pPr>
        <w:tabs>
          <w:tab w:val="left" w:pos="6795"/>
        </w:tabs>
        <w:rPr>
          <w:rFonts w:ascii="Times New Roman" w:hAnsi="Times New Roman" w:cs="Times New Roman"/>
          <w:sz w:val="28"/>
          <w:szCs w:val="28"/>
        </w:rPr>
      </w:pPr>
    </w:p>
    <w:p w14:paraId="09CF2119">
      <w:pPr>
        <w:tabs>
          <w:tab w:val="left" w:pos="6795"/>
        </w:tabs>
        <w:rPr>
          <w:rFonts w:ascii="Times New Roman" w:hAnsi="Times New Roman" w:cs="Times New Roman"/>
          <w:sz w:val="28"/>
          <w:szCs w:val="28"/>
        </w:rPr>
      </w:pPr>
      <w:r>
        <w:rPr>
          <w:rFonts w:ascii="Times New Roman" w:hAnsi="Times New Roman" w:cs="Times New Roman"/>
          <w:sz w:val="28"/>
          <w:szCs w:val="28"/>
        </w:rPr>
        <w:t xml:space="preserve">43. Затраты подведомственного учреждения на </w:t>
      </w:r>
      <w:bookmarkStart w:id="10" w:name="_Hlk162941869"/>
      <w:r>
        <w:rPr>
          <w:rFonts w:ascii="Times New Roman" w:hAnsi="Times New Roman" w:cs="Times New Roman"/>
          <w:sz w:val="28"/>
          <w:szCs w:val="28"/>
        </w:rPr>
        <w:t xml:space="preserve">оказание услуг по устройству выставочного стенда в рамках участия Кировской области в Петербургском международном экономическом форуме - 2024 </w:t>
      </w:r>
      <w:bookmarkEnd w:id="10"/>
      <w:r>
        <w:rPr>
          <w:rFonts w:ascii="Times New Roman" w:hAnsi="Times New Roman" w:cs="Times New Roman"/>
          <w:sz w:val="28"/>
          <w:szCs w:val="28"/>
        </w:rPr>
        <w:t>(Зу) определяются по формуле:</w:t>
      </w:r>
    </w:p>
    <w:p w14:paraId="6A358309">
      <w:pPr>
        <w:tabs>
          <w:tab w:val="left" w:pos="6795"/>
        </w:tabs>
        <w:rPr>
          <w:rFonts w:ascii="Times New Roman" w:hAnsi="Times New Roman" w:cs="Times New Roman"/>
          <w:sz w:val="28"/>
          <w:szCs w:val="28"/>
        </w:rPr>
      </w:pPr>
      <w:r>
        <w:rPr>
          <w:rFonts w:ascii="Times New Roman" w:hAnsi="Times New Roman" w:cs="Times New Roman"/>
          <w:sz w:val="28"/>
          <w:szCs w:val="28"/>
        </w:rPr>
        <w:t>Зу=</w:t>
      </w:r>
      <w:r>
        <w:rPr>
          <w:rFonts w:ascii="Times New Roman" w:hAnsi="Times New Roman" w:cs="Times New Roman"/>
          <w:sz w:val="28"/>
          <w:szCs w:val="28"/>
          <w:lang w:val="en-US"/>
        </w:rPr>
        <w:t>Q</w:t>
      </w:r>
      <w:r>
        <w:rPr>
          <w:rFonts w:ascii="Times New Roman" w:hAnsi="Times New Roman" w:cs="Times New Roman"/>
          <w:sz w:val="28"/>
          <w:szCs w:val="28"/>
        </w:rPr>
        <w:t xml:space="preserve">у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у, где</w:t>
      </w:r>
    </w:p>
    <w:p w14:paraId="21F0F10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у – количество услуг по устройству выставочного стенда в рамках участия Кировской области в Петербургском международном экономическом форуме - 2024;</w:t>
      </w:r>
    </w:p>
    <w:p w14:paraId="5B405989">
      <w:pPr>
        <w:tabs>
          <w:tab w:val="left" w:pos="6795"/>
        </w:tabs>
        <w:rPr>
          <w:rFonts w:ascii="Times New Roman" w:hAnsi="Times New Roman" w:cs="Times New Roman"/>
          <w:sz w:val="28"/>
          <w:szCs w:val="28"/>
        </w:rPr>
      </w:pPr>
      <w:r>
        <w:rPr>
          <w:rFonts w:ascii="Times New Roman" w:hAnsi="Times New Roman" w:cs="Times New Roman"/>
          <w:sz w:val="28"/>
          <w:szCs w:val="28"/>
        </w:rPr>
        <w:t xml:space="preserve">Ру – цена за оказание услуг по устройству выставочного стенда в рамках участия Кировской области в Петербургском международном экономическом форуме - 2024.  </w:t>
      </w:r>
    </w:p>
    <w:p w14:paraId="06D7C958">
      <w:pPr>
        <w:tabs>
          <w:tab w:val="left" w:pos="6795"/>
        </w:tabs>
        <w:rPr>
          <w:rFonts w:ascii="Times New Roman" w:hAnsi="Times New Roman" w:cs="Times New Roman"/>
          <w:sz w:val="28"/>
          <w:szCs w:val="28"/>
        </w:rPr>
      </w:pPr>
      <w:r>
        <w:rPr>
          <w:rFonts w:ascii="Times New Roman" w:hAnsi="Times New Roman" w:cs="Times New Roman"/>
          <w:sz w:val="28"/>
          <w:szCs w:val="28"/>
        </w:rPr>
        <w:t>Расчет затрат на оказание услуг по устройству выставочного стенда в рамках участия Кировской области в Петербургском международном экономическом форуме - 2024 производится в соответствии с нормативами согласно таблице №59.</w:t>
      </w:r>
    </w:p>
    <w:p w14:paraId="1F53DB56">
      <w:pPr>
        <w:tabs>
          <w:tab w:val="left" w:pos="6795"/>
        </w:tabs>
        <w:rPr>
          <w:rFonts w:ascii="Times New Roman" w:hAnsi="Times New Roman" w:cs="Times New Roman"/>
          <w:sz w:val="28"/>
          <w:szCs w:val="28"/>
        </w:rPr>
      </w:pPr>
      <w:r>
        <w:rPr>
          <w:rFonts w:ascii="Times New Roman" w:hAnsi="Times New Roman" w:cs="Times New Roman"/>
          <w:sz w:val="28"/>
          <w:szCs w:val="28"/>
        </w:rPr>
        <w:t xml:space="preserve">                                                                                                                Таблица №59.</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70"/>
        <w:gridCol w:w="4871"/>
      </w:tblGrid>
      <w:tr w14:paraId="56890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0" w:type="dxa"/>
          </w:tcPr>
          <w:p w14:paraId="32A78A23">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услуг по устройству выставочного стенда в рамках участия Кировской области в Петербургском международном экономическом форуме - 2024</w:t>
            </w:r>
          </w:p>
          <w:p w14:paraId="0B82901D">
            <w:pPr>
              <w:tabs>
                <w:tab w:val="left" w:pos="6795"/>
              </w:tabs>
              <w:spacing w:after="0" w:line="240" w:lineRule="auto"/>
              <w:rPr>
                <w:rFonts w:ascii="Times New Roman" w:hAnsi="Times New Roman" w:cs="Times New Roman"/>
                <w:sz w:val="28"/>
                <w:szCs w:val="28"/>
              </w:rPr>
            </w:pPr>
          </w:p>
        </w:tc>
        <w:tc>
          <w:tcPr>
            <w:tcW w:w="4871" w:type="dxa"/>
          </w:tcPr>
          <w:p w14:paraId="0A98AEF2">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цена за оказание услуг по устройству выставочного стенда в рамках участия Кировской области в Петербургском международном экономическом форуме - 2024  </w:t>
            </w:r>
          </w:p>
          <w:p w14:paraId="2ADF6095">
            <w:pPr>
              <w:tabs>
                <w:tab w:val="left" w:pos="6795"/>
              </w:tabs>
              <w:spacing w:after="0" w:line="240" w:lineRule="auto"/>
              <w:rPr>
                <w:rFonts w:ascii="Times New Roman" w:hAnsi="Times New Roman" w:cs="Times New Roman"/>
                <w:sz w:val="28"/>
                <w:szCs w:val="28"/>
              </w:rPr>
            </w:pPr>
          </w:p>
        </w:tc>
      </w:tr>
      <w:tr w14:paraId="5CE6F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0" w:type="dxa"/>
          </w:tcPr>
          <w:p w14:paraId="62263D8F">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4871" w:type="dxa"/>
          </w:tcPr>
          <w:p w14:paraId="70147C06">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14 200 000,00</w:t>
            </w:r>
          </w:p>
        </w:tc>
      </w:tr>
    </w:tbl>
    <w:p w14:paraId="7AD699F8">
      <w:pPr>
        <w:tabs>
          <w:tab w:val="left" w:pos="6795"/>
        </w:tabs>
        <w:rPr>
          <w:rFonts w:ascii="Times New Roman" w:hAnsi="Times New Roman" w:cs="Times New Roman"/>
          <w:sz w:val="28"/>
          <w:szCs w:val="28"/>
        </w:rPr>
      </w:pPr>
    </w:p>
    <w:p w14:paraId="73A29B7D">
      <w:pPr>
        <w:tabs>
          <w:tab w:val="left" w:pos="6795"/>
        </w:tabs>
        <w:rPr>
          <w:rFonts w:ascii="Times New Roman" w:hAnsi="Times New Roman" w:cs="Times New Roman"/>
          <w:sz w:val="28"/>
          <w:szCs w:val="28"/>
        </w:rPr>
      </w:pPr>
      <w:r>
        <w:rPr>
          <w:rFonts w:ascii="Times New Roman" w:hAnsi="Times New Roman" w:cs="Times New Roman"/>
          <w:sz w:val="28"/>
          <w:szCs w:val="28"/>
        </w:rPr>
        <w:t>44. Затраты подведомственного учреждения на оказание услуг кейтеринга в рамках участия Кировской области в Петербургском международном экономическом форуме - 2024 (Зк) определяются по формуле:</w:t>
      </w:r>
    </w:p>
    <w:p w14:paraId="40340F55">
      <w:pPr>
        <w:tabs>
          <w:tab w:val="left" w:pos="6795"/>
        </w:tabs>
        <w:rPr>
          <w:rFonts w:ascii="Times New Roman" w:hAnsi="Times New Roman" w:cs="Times New Roman"/>
          <w:sz w:val="28"/>
          <w:szCs w:val="28"/>
        </w:rPr>
      </w:pPr>
      <w:r>
        <w:rPr>
          <w:rFonts w:ascii="Times New Roman" w:hAnsi="Times New Roman" w:cs="Times New Roman"/>
          <w:sz w:val="28"/>
          <w:szCs w:val="28"/>
        </w:rPr>
        <w:t>Зк=</w:t>
      </w:r>
      <w:r>
        <w:rPr>
          <w:rFonts w:ascii="Times New Roman" w:hAnsi="Times New Roman" w:cs="Times New Roman"/>
          <w:sz w:val="28"/>
          <w:szCs w:val="28"/>
          <w:lang w:val="en-US"/>
        </w:rPr>
        <w:t>Q</w:t>
      </w:r>
      <w:r>
        <w:rPr>
          <w:rFonts w:ascii="Times New Roman" w:hAnsi="Times New Roman" w:cs="Times New Roman"/>
          <w:sz w:val="28"/>
          <w:szCs w:val="28"/>
        </w:rPr>
        <w:t xml:space="preserve">к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к, где</w:t>
      </w:r>
    </w:p>
    <w:p w14:paraId="283D12B6">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к – количество услуг кейтеринга в рамках участия Кировской области в Петербургском международном экономическом форуме - 2024;</w:t>
      </w:r>
    </w:p>
    <w:p w14:paraId="4A0399FF">
      <w:pPr>
        <w:tabs>
          <w:tab w:val="left" w:pos="6795"/>
        </w:tabs>
        <w:rPr>
          <w:rFonts w:ascii="Times New Roman" w:hAnsi="Times New Roman" w:cs="Times New Roman"/>
          <w:sz w:val="28"/>
          <w:szCs w:val="28"/>
        </w:rPr>
      </w:pPr>
      <w:r>
        <w:rPr>
          <w:rFonts w:ascii="Times New Roman" w:hAnsi="Times New Roman" w:cs="Times New Roman"/>
          <w:sz w:val="28"/>
          <w:szCs w:val="28"/>
        </w:rPr>
        <w:t xml:space="preserve">Рк – цена за оказание услуг кейтеринга в рамках участия Кировской области в Петербургском международном экономическом форуме - 2024.  </w:t>
      </w:r>
    </w:p>
    <w:p w14:paraId="0737A93A">
      <w:pPr>
        <w:tabs>
          <w:tab w:val="left" w:pos="6795"/>
        </w:tabs>
        <w:rPr>
          <w:rFonts w:ascii="Times New Roman" w:hAnsi="Times New Roman" w:cs="Times New Roman"/>
          <w:sz w:val="28"/>
          <w:szCs w:val="28"/>
        </w:rPr>
      </w:pPr>
      <w:r>
        <w:rPr>
          <w:rFonts w:ascii="Times New Roman" w:hAnsi="Times New Roman" w:cs="Times New Roman"/>
          <w:sz w:val="28"/>
          <w:szCs w:val="28"/>
        </w:rPr>
        <w:t xml:space="preserve">Расчет затрат на оказание услуг кейтеринга в рамках участия Кировской области в Петербургском международном экономическом форуме - 2024 производится в соответствии с нормативами согласно таблице №60. </w:t>
      </w:r>
    </w:p>
    <w:p w14:paraId="5C50E5C9">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№60.</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70"/>
        <w:gridCol w:w="4871"/>
      </w:tblGrid>
      <w:tr w14:paraId="1FABF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0" w:type="dxa"/>
          </w:tcPr>
          <w:p w14:paraId="411D8887">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услуг кейтеринга в рамках участия Кировской области в Петербургском международном экономическом форуме - 2024;</w:t>
            </w:r>
          </w:p>
          <w:p w14:paraId="62165874">
            <w:pPr>
              <w:tabs>
                <w:tab w:val="left" w:pos="6795"/>
              </w:tabs>
              <w:spacing w:after="0" w:line="240" w:lineRule="auto"/>
              <w:rPr>
                <w:rFonts w:ascii="Times New Roman" w:hAnsi="Times New Roman" w:cs="Times New Roman"/>
                <w:sz w:val="28"/>
                <w:szCs w:val="28"/>
              </w:rPr>
            </w:pPr>
          </w:p>
        </w:tc>
        <w:tc>
          <w:tcPr>
            <w:tcW w:w="4871" w:type="dxa"/>
          </w:tcPr>
          <w:p w14:paraId="4438C1FB">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цена за оказание услуг кейтеринга в рамках участия Кировской области в Петербургском международном экономическом форуме – 2024; рублей  </w:t>
            </w:r>
          </w:p>
          <w:p w14:paraId="0E4C497D">
            <w:pPr>
              <w:tabs>
                <w:tab w:val="left" w:pos="6795"/>
              </w:tabs>
              <w:spacing w:after="0" w:line="240" w:lineRule="auto"/>
              <w:rPr>
                <w:rFonts w:ascii="Times New Roman" w:hAnsi="Times New Roman" w:cs="Times New Roman"/>
                <w:sz w:val="28"/>
                <w:szCs w:val="28"/>
              </w:rPr>
            </w:pPr>
          </w:p>
        </w:tc>
      </w:tr>
      <w:tr w14:paraId="68A62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0" w:type="dxa"/>
          </w:tcPr>
          <w:p w14:paraId="223F6292">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4871" w:type="dxa"/>
          </w:tcPr>
          <w:p w14:paraId="74B541B2">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1 500 000,00</w:t>
            </w:r>
          </w:p>
        </w:tc>
      </w:tr>
    </w:tbl>
    <w:p w14:paraId="5FA63F2B">
      <w:pPr>
        <w:tabs>
          <w:tab w:val="left" w:pos="6795"/>
        </w:tabs>
        <w:rPr>
          <w:rFonts w:ascii="Times New Roman" w:hAnsi="Times New Roman" w:cs="Times New Roman"/>
          <w:sz w:val="28"/>
          <w:szCs w:val="28"/>
        </w:rPr>
      </w:pPr>
    </w:p>
    <w:p w14:paraId="0C989E98">
      <w:pPr>
        <w:tabs>
          <w:tab w:val="left" w:pos="6795"/>
        </w:tabs>
        <w:rPr>
          <w:rFonts w:ascii="Times New Roman" w:hAnsi="Times New Roman" w:cs="Times New Roman"/>
          <w:sz w:val="28"/>
          <w:szCs w:val="28"/>
        </w:rPr>
      </w:pPr>
      <w:r>
        <w:rPr>
          <w:rFonts w:ascii="Times New Roman" w:hAnsi="Times New Roman" w:cs="Times New Roman"/>
          <w:sz w:val="28"/>
          <w:szCs w:val="28"/>
        </w:rPr>
        <w:t>45. Затраты подведомственного учреждения на поставку подарочно-сувенирной продукции  в рамках участия Кировской области в Петербургском международном экономическом форуме - 2024 (Зс) определяются по формуле:</w:t>
      </w:r>
    </w:p>
    <w:p w14:paraId="5608D441">
      <w:pPr>
        <w:tabs>
          <w:tab w:val="left" w:pos="6795"/>
        </w:tabs>
        <w:rPr>
          <w:rFonts w:ascii="Times New Roman" w:hAnsi="Times New Roman" w:cs="Times New Roman"/>
          <w:sz w:val="28"/>
          <w:szCs w:val="28"/>
        </w:rPr>
      </w:pPr>
      <w:r>
        <w:rPr>
          <w:rFonts w:ascii="Times New Roman" w:hAnsi="Times New Roman" w:cs="Times New Roman"/>
          <w:sz w:val="28"/>
          <w:szCs w:val="28"/>
        </w:rPr>
        <w:t>Зс=</w:t>
      </w:r>
      <w:r>
        <w:rPr>
          <w:rFonts w:ascii="Times New Roman" w:hAnsi="Times New Roman" w:cs="Times New Roman"/>
          <w:sz w:val="28"/>
          <w:szCs w:val="28"/>
          <w:lang w:val="en-US"/>
        </w:rPr>
        <w:t>Q</w:t>
      </w:r>
      <w:r>
        <w:rPr>
          <w:rFonts w:ascii="Times New Roman" w:hAnsi="Times New Roman" w:cs="Times New Roman"/>
          <w:sz w:val="28"/>
          <w:szCs w:val="28"/>
        </w:rPr>
        <w:t xml:space="preserve">с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с, где</w:t>
      </w:r>
    </w:p>
    <w:p w14:paraId="2BC3B3CE">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с – количество подарочно-сувенирной продукции в рамках участия Кировской области в Петербургском международном экономическом форуме - 2024;</w:t>
      </w:r>
    </w:p>
    <w:p w14:paraId="0DD5B8C9">
      <w:pPr>
        <w:tabs>
          <w:tab w:val="left" w:pos="6795"/>
        </w:tabs>
        <w:rPr>
          <w:rFonts w:ascii="Times New Roman" w:hAnsi="Times New Roman" w:cs="Times New Roman"/>
          <w:sz w:val="28"/>
          <w:szCs w:val="28"/>
        </w:rPr>
      </w:pPr>
      <w:r>
        <w:rPr>
          <w:rFonts w:ascii="Times New Roman" w:hAnsi="Times New Roman" w:cs="Times New Roman"/>
          <w:sz w:val="28"/>
          <w:szCs w:val="28"/>
        </w:rPr>
        <w:t xml:space="preserve">Рс – цена за подарочно-сувенирную продукцию в рамках участия Кировской области в Петербургском международном экономическом форуме - 2024.  </w:t>
      </w:r>
    </w:p>
    <w:p w14:paraId="5B1EAD6B">
      <w:pPr>
        <w:tabs>
          <w:tab w:val="left" w:pos="6795"/>
        </w:tabs>
        <w:rPr>
          <w:rFonts w:ascii="Times New Roman" w:hAnsi="Times New Roman" w:cs="Times New Roman"/>
          <w:sz w:val="28"/>
          <w:szCs w:val="28"/>
        </w:rPr>
      </w:pPr>
      <w:r>
        <w:rPr>
          <w:rFonts w:ascii="Times New Roman" w:hAnsi="Times New Roman" w:cs="Times New Roman"/>
          <w:sz w:val="28"/>
          <w:szCs w:val="28"/>
        </w:rPr>
        <w:t xml:space="preserve">Расчет затрат на поставку подарочно-сувенирной продукции в рамках участия Кировской области в Петербургском международном экономическом форуме - 2024 производится в соответствии с нормативами согласно таблице №61. </w:t>
      </w:r>
    </w:p>
    <w:p w14:paraId="594180F4">
      <w:pPr>
        <w:tabs>
          <w:tab w:val="left" w:pos="6795"/>
        </w:tabs>
        <w:rPr>
          <w:rFonts w:ascii="Times New Roman" w:hAnsi="Times New Roman" w:cs="Times New Roman"/>
          <w:sz w:val="28"/>
          <w:szCs w:val="28"/>
        </w:rPr>
      </w:pPr>
    </w:p>
    <w:p w14:paraId="432951EE">
      <w:pPr>
        <w:tabs>
          <w:tab w:val="left" w:pos="6795"/>
        </w:tabs>
        <w:rPr>
          <w:rFonts w:ascii="Times New Roman" w:hAnsi="Times New Roman" w:cs="Times New Roman"/>
          <w:sz w:val="28"/>
          <w:szCs w:val="28"/>
        </w:rPr>
      </w:pPr>
    </w:p>
    <w:p w14:paraId="7C387DD7">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№61.</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70"/>
        <w:gridCol w:w="4871"/>
      </w:tblGrid>
      <w:tr w14:paraId="68464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0" w:type="dxa"/>
          </w:tcPr>
          <w:p w14:paraId="208DBAE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количество подарочно-сувенирной продукции в рамках участия Кировской области в Петербургском международном экономическом форуме – 2024 (подарочно-сувенирный </w:t>
            </w:r>
            <w:r>
              <w:rPr>
                <w:rFonts w:ascii="Times New Roman" w:hAnsi="Times New Roman" w:cs="Times New Roman"/>
                <w:sz w:val="28"/>
                <w:szCs w:val="28"/>
                <w:u w:val="single"/>
              </w:rPr>
              <w:t>набор</w:t>
            </w:r>
            <w:r>
              <w:rPr>
                <w:rFonts w:ascii="Times New Roman" w:hAnsi="Times New Roman" w:cs="Times New Roman"/>
                <w:sz w:val="28"/>
                <w:szCs w:val="28"/>
              </w:rPr>
              <w:t>)</w:t>
            </w:r>
          </w:p>
          <w:p w14:paraId="45E8BA5D">
            <w:pPr>
              <w:tabs>
                <w:tab w:val="left" w:pos="6795"/>
              </w:tabs>
              <w:spacing w:after="0" w:line="240" w:lineRule="auto"/>
              <w:rPr>
                <w:rFonts w:ascii="Times New Roman" w:hAnsi="Times New Roman" w:cs="Times New Roman"/>
                <w:sz w:val="28"/>
                <w:szCs w:val="28"/>
              </w:rPr>
            </w:pPr>
          </w:p>
        </w:tc>
        <w:tc>
          <w:tcPr>
            <w:tcW w:w="4871" w:type="dxa"/>
          </w:tcPr>
          <w:p w14:paraId="0C425868">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цена за подарочно-сувенирную продукцию в рамках участия Кировской области в Петербургском международном экономическом форуме – 2024; рублей</w:t>
            </w:r>
          </w:p>
        </w:tc>
      </w:tr>
      <w:tr w14:paraId="7C5A4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0" w:type="dxa"/>
          </w:tcPr>
          <w:p w14:paraId="6A1FD433">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не менее  1 набора</w:t>
            </w:r>
          </w:p>
        </w:tc>
        <w:tc>
          <w:tcPr>
            <w:tcW w:w="4871" w:type="dxa"/>
          </w:tcPr>
          <w:p w14:paraId="621C8D01">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не более 15 000,00</w:t>
            </w:r>
          </w:p>
        </w:tc>
      </w:tr>
    </w:tbl>
    <w:p w14:paraId="2D4AAF7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Количество подарочно-сувенирных наборов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подведомственного учреждения.</w:t>
      </w:r>
    </w:p>
    <w:p w14:paraId="74D3BDDE">
      <w:pPr>
        <w:tabs>
          <w:tab w:val="left" w:pos="6795"/>
        </w:tabs>
        <w:rPr>
          <w:rFonts w:ascii="Times New Roman" w:hAnsi="Times New Roman" w:cs="Times New Roman"/>
          <w:sz w:val="28"/>
          <w:szCs w:val="28"/>
        </w:rPr>
      </w:pPr>
    </w:p>
    <w:p w14:paraId="67390A00">
      <w:pPr>
        <w:tabs>
          <w:tab w:val="left" w:pos="6795"/>
        </w:tabs>
        <w:rPr>
          <w:rFonts w:ascii="Times New Roman" w:hAnsi="Times New Roman" w:cs="Times New Roman"/>
          <w:sz w:val="28"/>
          <w:szCs w:val="28"/>
        </w:rPr>
      </w:pPr>
      <w:r>
        <w:rPr>
          <w:rFonts w:ascii="Times New Roman" w:hAnsi="Times New Roman" w:cs="Times New Roman"/>
          <w:sz w:val="28"/>
          <w:szCs w:val="28"/>
        </w:rPr>
        <w:t>46. Затраты подведомственного учреждения на изготовление полиграфической продукции  в рамках участия Кировской области в Петербургском международном экономическом форуме - 2024 (Зп) определяются по формуле:</w:t>
      </w:r>
    </w:p>
    <w:p w14:paraId="1241825C">
      <w:pPr>
        <w:tabs>
          <w:tab w:val="left" w:pos="6795"/>
        </w:tabs>
        <w:rPr>
          <w:rFonts w:ascii="Times New Roman" w:hAnsi="Times New Roman" w:cs="Times New Roman"/>
          <w:sz w:val="28"/>
          <w:szCs w:val="28"/>
        </w:rPr>
      </w:pPr>
      <w:r>
        <w:rPr>
          <w:rFonts w:ascii="Times New Roman" w:hAnsi="Times New Roman" w:cs="Times New Roman"/>
          <w:sz w:val="28"/>
          <w:szCs w:val="28"/>
        </w:rPr>
        <w:t>Зп=</w:t>
      </w:r>
      <w:r>
        <w:rPr>
          <w:rFonts w:ascii="Times New Roman" w:hAnsi="Times New Roman" w:cs="Times New Roman"/>
          <w:sz w:val="28"/>
          <w:szCs w:val="28"/>
          <w:lang w:val="en-US"/>
        </w:rPr>
        <w:t>Q</w:t>
      </w:r>
      <w:r>
        <w:rPr>
          <w:rFonts w:ascii="Times New Roman" w:hAnsi="Times New Roman" w:cs="Times New Roman"/>
          <w:sz w:val="28"/>
          <w:szCs w:val="28"/>
        </w:rPr>
        <w:t xml:space="preserve">п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п, где</w:t>
      </w:r>
    </w:p>
    <w:p w14:paraId="7632CD86">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п – количество полиграфической продукции в рамках участия Кировской области в Петербургском международном экономическом форуме - 2024;</w:t>
      </w:r>
    </w:p>
    <w:p w14:paraId="1603802C">
      <w:pPr>
        <w:tabs>
          <w:tab w:val="left" w:pos="6795"/>
        </w:tabs>
        <w:rPr>
          <w:rFonts w:ascii="Times New Roman" w:hAnsi="Times New Roman" w:cs="Times New Roman"/>
          <w:sz w:val="28"/>
          <w:szCs w:val="28"/>
        </w:rPr>
      </w:pPr>
      <w:r>
        <w:rPr>
          <w:rFonts w:ascii="Times New Roman" w:hAnsi="Times New Roman" w:cs="Times New Roman"/>
          <w:sz w:val="28"/>
          <w:szCs w:val="28"/>
        </w:rPr>
        <w:t xml:space="preserve">Рп – цена за полиграфическую продукцию в рамках участия Кировской области в Петербургском международном экономическом форуме - 2024.  </w:t>
      </w:r>
    </w:p>
    <w:p w14:paraId="1F58E071">
      <w:pPr>
        <w:tabs>
          <w:tab w:val="left" w:pos="6795"/>
        </w:tabs>
        <w:rPr>
          <w:rFonts w:ascii="Times New Roman" w:hAnsi="Times New Roman" w:cs="Times New Roman"/>
          <w:sz w:val="28"/>
          <w:szCs w:val="28"/>
        </w:rPr>
      </w:pPr>
      <w:r>
        <w:rPr>
          <w:rFonts w:ascii="Times New Roman" w:hAnsi="Times New Roman" w:cs="Times New Roman"/>
          <w:sz w:val="28"/>
          <w:szCs w:val="28"/>
        </w:rPr>
        <w:t xml:space="preserve">Расчет затрат на изготовление полиграфической продукции в рамках участия Кировской области в Петербургском международном экономическом форуме - 2024 производится в соответствии с нормативами согласно таблице №62. </w:t>
      </w:r>
    </w:p>
    <w:p w14:paraId="6005D14F">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№62.</w:t>
      </w:r>
    </w:p>
    <w:p w14:paraId="4AFDE08B">
      <w:pPr>
        <w:tabs>
          <w:tab w:val="left" w:pos="6795"/>
        </w:tabs>
        <w:rPr>
          <w:rFonts w:ascii="Times New Roman" w:hAnsi="Times New Roman" w:cs="Times New Roman"/>
          <w:sz w:val="28"/>
          <w:szCs w:val="28"/>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70"/>
        <w:gridCol w:w="4871"/>
      </w:tblGrid>
      <w:tr w14:paraId="5EF07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0" w:type="dxa"/>
          </w:tcPr>
          <w:p w14:paraId="591432D9">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полиграфической продукции в рамках участия Кировской области в Петербургском международном экономическом форуме – 2024; штука</w:t>
            </w:r>
          </w:p>
        </w:tc>
        <w:tc>
          <w:tcPr>
            <w:tcW w:w="4871" w:type="dxa"/>
          </w:tcPr>
          <w:p w14:paraId="6E078C4C">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цена за полиграфическую продукцию в рамках участия Кировской области в Петербургском международном экономическом форуме – 2024; рублей  </w:t>
            </w:r>
          </w:p>
          <w:p w14:paraId="76EF8C90">
            <w:pPr>
              <w:tabs>
                <w:tab w:val="left" w:pos="6795"/>
              </w:tabs>
              <w:spacing w:after="0" w:line="240" w:lineRule="auto"/>
              <w:rPr>
                <w:rFonts w:ascii="Times New Roman" w:hAnsi="Times New Roman" w:cs="Times New Roman"/>
                <w:sz w:val="28"/>
                <w:szCs w:val="28"/>
              </w:rPr>
            </w:pPr>
          </w:p>
        </w:tc>
      </w:tr>
      <w:tr w14:paraId="5A98A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0" w:type="dxa"/>
          </w:tcPr>
          <w:p w14:paraId="4A6F5A62">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w:t>
            </w:r>
          </w:p>
        </w:tc>
        <w:tc>
          <w:tcPr>
            <w:tcW w:w="4871" w:type="dxa"/>
          </w:tcPr>
          <w:p w14:paraId="2CEB513F">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bl>
    <w:p w14:paraId="4E972611">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Количество полиграфической продукции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подведомственного учреждения.</w:t>
      </w:r>
    </w:p>
    <w:p w14:paraId="06BCE6ED">
      <w:pPr>
        <w:tabs>
          <w:tab w:val="left" w:pos="6795"/>
        </w:tabs>
        <w:rPr>
          <w:rFonts w:ascii="Times New Roman" w:hAnsi="Times New Roman" w:cs="Times New Roman"/>
          <w:sz w:val="28"/>
          <w:szCs w:val="28"/>
        </w:rPr>
      </w:pPr>
    </w:p>
    <w:p w14:paraId="72301F80">
      <w:pPr>
        <w:tabs>
          <w:tab w:val="left" w:pos="6795"/>
        </w:tabs>
        <w:rPr>
          <w:rFonts w:ascii="Times New Roman" w:hAnsi="Times New Roman" w:cs="Times New Roman"/>
          <w:sz w:val="28"/>
          <w:szCs w:val="28"/>
        </w:rPr>
      </w:pPr>
      <w:r>
        <w:rPr>
          <w:rFonts w:ascii="Times New Roman" w:hAnsi="Times New Roman" w:cs="Times New Roman"/>
          <w:sz w:val="28"/>
          <w:szCs w:val="28"/>
        </w:rPr>
        <w:t xml:space="preserve">47. </w:t>
      </w:r>
      <w:bookmarkStart w:id="11" w:name="_Hlk166664033"/>
      <w:r>
        <w:rPr>
          <w:rFonts w:ascii="Times New Roman" w:hAnsi="Times New Roman" w:cs="Times New Roman"/>
          <w:sz w:val="28"/>
          <w:szCs w:val="28"/>
        </w:rPr>
        <w:t xml:space="preserve">Затраты подведомственного учреждения на оказание </w:t>
      </w:r>
      <w:bookmarkStart w:id="12" w:name="_Hlk164948720"/>
      <w:r>
        <w:rPr>
          <w:rFonts w:ascii="Times New Roman" w:hAnsi="Times New Roman" w:cs="Times New Roman"/>
          <w:sz w:val="28"/>
          <w:szCs w:val="28"/>
        </w:rPr>
        <w:t>услуг доставки имущества Заказчика на выставочный стенд</w:t>
      </w:r>
      <w:bookmarkEnd w:id="12"/>
      <w:r>
        <w:rPr>
          <w:rFonts w:ascii="Times New Roman" w:hAnsi="Times New Roman" w:cs="Times New Roman"/>
          <w:sz w:val="28"/>
          <w:szCs w:val="28"/>
        </w:rPr>
        <w:t xml:space="preserve"> в рамках участия Кировской области в Петербургском международном экономическом форуме - 2024 (Зд) определяются по формуле:</w:t>
      </w:r>
    </w:p>
    <w:p w14:paraId="3B356604">
      <w:pPr>
        <w:tabs>
          <w:tab w:val="left" w:pos="6795"/>
        </w:tabs>
        <w:rPr>
          <w:rFonts w:ascii="Times New Roman" w:hAnsi="Times New Roman" w:cs="Times New Roman"/>
          <w:sz w:val="28"/>
          <w:szCs w:val="28"/>
        </w:rPr>
      </w:pPr>
      <w:r>
        <w:rPr>
          <w:rFonts w:ascii="Times New Roman" w:hAnsi="Times New Roman" w:cs="Times New Roman"/>
          <w:sz w:val="28"/>
          <w:szCs w:val="28"/>
        </w:rPr>
        <w:t>Зд=</w:t>
      </w:r>
      <w:r>
        <w:rPr>
          <w:rFonts w:ascii="Times New Roman" w:hAnsi="Times New Roman" w:cs="Times New Roman"/>
          <w:sz w:val="28"/>
          <w:szCs w:val="28"/>
          <w:lang w:val="en-US"/>
        </w:rPr>
        <w:t>Q</w:t>
      </w:r>
      <w:r>
        <w:rPr>
          <w:rFonts w:ascii="Times New Roman" w:hAnsi="Times New Roman" w:cs="Times New Roman"/>
          <w:sz w:val="28"/>
          <w:szCs w:val="28"/>
        </w:rPr>
        <w:t xml:space="preserve">д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д, где</w:t>
      </w:r>
    </w:p>
    <w:p w14:paraId="0A976C51">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д – количество услуг доставки имущества Заказчика на выставочный стенд в рамках участия Кировской области в Петербургском международном экономическом форуме - 2024;</w:t>
      </w:r>
    </w:p>
    <w:p w14:paraId="6E231020">
      <w:pPr>
        <w:tabs>
          <w:tab w:val="left" w:pos="6795"/>
        </w:tabs>
        <w:rPr>
          <w:rFonts w:ascii="Times New Roman" w:hAnsi="Times New Roman" w:cs="Times New Roman"/>
          <w:sz w:val="28"/>
          <w:szCs w:val="28"/>
        </w:rPr>
      </w:pPr>
      <w:r>
        <w:rPr>
          <w:rFonts w:ascii="Times New Roman" w:hAnsi="Times New Roman" w:cs="Times New Roman"/>
          <w:sz w:val="28"/>
          <w:szCs w:val="28"/>
        </w:rPr>
        <w:t xml:space="preserve">Рд – цена за услугу доставки имущества Заказчика на выставочный стенд в рамках участия Кировской области в Петербургском международном экономическом форуме - 2024.  </w:t>
      </w:r>
    </w:p>
    <w:bookmarkEnd w:id="11"/>
    <w:p w14:paraId="522E9E60">
      <w:pPr>
        <w:tabs>
          <w:tab w:val="left" w:pos="6795"/>
        </w:tabs>
        <w:rPr>
          <w:rFonts w:ascii="Times New Roman" w:hAnsi="Times New Roman" w:cs="Times New Roman"/>
          <w:sz w:val="28"/>
          <w:szCs w:val="28"/>
        </w:rPr>
      </w:pPr>
      <w:r>
        <w:rPr>
          <w:rFonts w:ascii="Times New Roman" w:hAnsi="Times New Roman" w:cs="Times New Roman"/>
          <w:sz w:val="28"/>
          <w:szCs w:val="28"/>
        </w:rPr>
        <w:t xml:space="preserve">Расчет затрат на оказание услуг доставки имущества Заказчика на выставочный стенд в рамках участия Кировской области в Петербургском международном экономическом форуме - 2024 производится в соответствии с нормативами согласно таблице №63. </w:t>
      </w:r>
    </w:p>
    <w:p w14:paraId="6D1773B7">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№63.</w:t>
      </w:r>
    </w:p>
    <w:p w14:paraId="7CA2B7E7">
      <w:pPr>
        <w:tabs>
          <w:tab w:val="left" w:pos="6795"/>
        </w:tabs>
        <w:rPr>
          <w:rFonts w:ascii="Times New Roman" w:hAnsi="Times New Roman" w:cs="Times New Roman"/>
          <w:sz w:val="28"/>
          <w:szCs w:val="28"/>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70"/>
        <w:gridCol w:w="4871"/>
      </w:tblGrid>
      <w:tr w14:paraId="0681F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0" w:type="dxa"/>
          </w:tcPr>
          <w:p w14:paraId="6BC0C381">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услуг доставки имущества Заказчика на выставочный стенд в рамках участия Кировской области в Петербургском международном экономическом форуме - 2024;</w:t>
            </w:r>
          </w:p>
          <w:p w14:paraId="1FA7B72C">
            <w:pPr>
              <w:tabs>
                <w:tab w:val="left" w:pos="6795"/>
              </w:tabs>
              <w:spacing w:after="0" w:line="240" w:lineRule="auto"/>
              <w:rPr>
                <w:rFonts w:ascii="Times New Roman" w:hAnsi="Times New Roman" w:cs="Times New Roman"/>
                <w:sz w:val="28"/>
                <w:szCs w:val="28"/>
              </w:rPr>
            </w:pPr>
          </w:p>
        </w:tc>
        <w:tc>
          <w:tcPr>
            <w:tcW w:w="4871" w:type="dxa"/>
          </w:tcPr>
          <w:p w14:paraId="2743F66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цена за услугу доставки имущества Заказчика на выставочный стенд в рамках участия Кировской области в Петербургском международном экономическом форуме – 2024; рублей  </w:t>
            </w:r>
          </w:p>
          <w:p w14:paraId="002AD6E0">
            <w:pPr>
              <w:tabs>
                <w:tab w:val="left" w:pos="6795"/>
              </w:tabs>
              <w:spacing w:after="0" w:line="240" w:lineRule="auto"/>
              <w:rPr>
                <w:rFonts w:ascii="Times New Roman" w:hAnsi="Times New Roman" w:cs="Times New Roman"/>
                <w:sz w:val="28"/>
                <w:szCs w:val="28"/>
              </w:rPr>
            </w:pPr>
          </w:p>
        </w:tc>
      </w:tr>
      <w:tr w14:paraId="40996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0" w:type="dxa"/>
          </w:tcPr>
          <w:p w14:paraId="42361394">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не менее    1</w:t>
            </w:r>
          </w:p>
        </w:tc>
        <w:tc>
          <w:tcPr>
            <w:tcW w:w="4871" w:type="dxa"/>
          </w:tcPr>
          <w:p w14:paraId="2F99F6AF">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800 000,00</w:t>
            </w:r>
          </w:p>
        </w:tc>
      </w:tr>
    </w:tbl>
    <w:p w14:paraId="23A9ED29">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Количество услуг по доставке имущества Заказчика на выставочный стенд в рамках участия Кировской области в Петербургском международном экономическом форуме-2024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подведомственного учреждения.</w:t>
      </w:r>
    </w:p>
    <w:p w14:paraId="7CC30C9F">
      <w:pPr>
        <w:autoSpaceDE w:val="0"/>
        <w:autoSpaceDN w:val="0"/>
        <w:adjustRightInd w:val="0"/>
        <w:jc w:val="both"/>
        <w:rPr>
          <w:rFonts w:ascii="Times New Roman" w:hAnsi="Times New Roman" w:cs="Times New Roman"/>
          <w:bCs/>
          <w:sz w:val="24"/>
          <w:szCs w:val="24"/>
        </w:rPr>
      </w:pPr>
    </w:p>
    <w:p w14:paraId="5777AD64">
      <w:pPr>
        <w:autoSpaceDE w:val="0"/>
        <w:autoSpaceDN w:val="0"/>
        <w:adjustRightInd w:val="0"/>
        <w:jc w:val="both"/>
        <w:rPr>
          <w:rFonts w:ascii="Times New Roman" w:hAnsi="Times New Roman" w:cs="Times New Roman"/>
          <w:bCs/>
          <w:sz w:val="24"/>
          <w:szCs w:val="24"/>
        </w:rPr>
      </w:pPr>
    </w:p>
    <w:p w14:paraId="3216A59C">
      <w:pPr>
        <w:autoSpaceDE w:val="0"/>
        <w:autoSpaceDN w:val="0"/>
        <w:adjustRightInd w:val="0"/>
        <w:jc w:val="both"/>
        <w:rPr>
          <w:rFonts w:ascii="Times New Roman" w:hAnsi="Times New Roman" w:cs="Times New Roman"/>
          <w:bCs/>
          <w:sz w:val="24"/>
          <w:szCs w:val="24"/>
        </w:rPr>
      </w:pPr>
    </w:p>
    <w:p w14:paraId="22BC109D">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48. </w:t>
      </w:r>
      <w:bookmarkStart w:id="13" w:name="_Hlk172099415"/>
      <w:r>
        <w:rPr>
          <w:rFonts w:ascii="Times New Roman" w:hAnsi="Times New Roman" w:cs="Times New Roman"/>
          <w:sz w:val="28"/>
          <w:szCs w:val="28"/>
        </w:rPr>
        <w:t xml:space="preserve">Затраты подведомственного учреждения на оказание услуг </w:t>
      </w:r>
      <w:bookmarkStart w:id="14" w:name="_Hlk166752182"/>
      <w:bookmarkStart w:id="15" w:name="_Hlk168037576"/>
      <w:r>
        <w:rPr>
          <w:rFonts w:ascii="Times New Roman" w:hAnsi="Times New Roman" w:cs="Times New Roman"/>
          <w:color w:val="2C2D2E"/>
          <w:sz w:val="28"/>
          <w:szCs w:val="28"/>
          <w:shd w:val="clear" w:color="auto" w:fill="FFFFFF"/>
        </w:rPr>
        <w:t xml:space="preserve">по </w:t>
      </w:r>
      <w:bookmarkEnd w:id="14"/>
      <w:r>
        <w:rPr>
          <w:rFonts w:ascii="Times New Roman" w:hAnsi="Times New Roman" w:cs="Times New Roman"/>
          <w:color w:val="2C2D2E"/>
          <w:sz w:val="28"/>
          <w:szCs w:val="28"/>
          <w:shd w:val="clear" w:color="auto" w:fill="FFFFFF"/>
        </w:rPr>
        <w:t xml:space="preserve">созданию информационных материалов на интернет-порталах в информационно-телекоммуникационной сети «Интернет» и изготовлению видеоматериалов в рамках участия делегации от Кировской области </w:t>
      </w:r>
      <w:r>
        <w:rPr>
          <w:rFonts w:ascii="Times New Roman" w:hAnsi="Times New Roman" w:cs="Times New Roman"/>
          <w:sz w:val="28"/>
          <w:szCs w:val="28"/>
        </w:rPr>
        <w:t>в Петербургском международном экономическом форуме - 2024</w:t>
      </w:r>
      <w:bookmarkEnd w:id="15"/>
      <w:r>
        <w:rPr>
          <w:rFonts w:ascii="Times New Roman" w:hAnsi="Times New Roman" w:cs="Times New Roman"/>
          <w:sz w:val="28"/>
          <w:szCs w:val="28"/>
        </w:rPr>
        <w:t xml:space="preserve"> (Зо) определяются по формуле:</w:t>
      </w:r>
    </w:p>
    <w:p w14:paraId="23D614DA">
      <w:pPr>
        <w:tabs>
          <w:tab w:val="left" w:pos="6795"/>
        </w:tabs>
        <w:jc w:val="both"/>
        <w:rPr>
          <w:rFonts w:ascii="Times New Roman" w:hAnsi="Times New Roman" w:cs="Times New Roman"/>
          <w:sz w:val="28"/>
          <w:szCs w:val="28"/>
        </w:rPr>
      </w:pPr>
      <w:r>
        <w:rPr>
          <w:rFonts w:ascii="Times New Roman" w:hAnsi="Times New Roman" w:cs="Times New Roman"/>
          <w:sz w:val="28"/>
          <w:szCs w:val="28"/>
        </w:rPr>
        <w:t>Зо=</w:t>
      </w:r>
      <w:r>
        <w:rPr>
          <w:rFonts w:ascii="Times New Roman" w:hAnsi="Times New Roman" w:cs="Times New Roman"/>
          <w:sz w:val="28"/>
          <w:szCs w:val="28"/>
          <w:lang w:val="en-US"/>
        </w:rPr>
        <w:t>Q</w:t>
      </w:r>
      <w:r>
        <w:rPr>
          <w:rFonts w:ascii="Times New Roman" w:hAnsi="Times New Roman" w:cs="Times New Roman"/>
          <w:sz w:val="28"/>
          <w:szCs w:val="28"/>
        </w:rPr>
        <w:t xml:space="preserve">о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о, где</w:t>
      </w:r>
    </w:p>
    <w:p w14:paraId="66EAC36A">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 xml:space="preserve">о – количество оказания услуг </w:t>
      </w:r>
      <w:r>
        <w:rPr>
          <w:rFonts w:ascii="Times New Roman" w:hAnsi="Times New Roman" w:cs="Times New Roman"/>
          <w:color w:val="2C2D2E"/>
          <w:sz w:val="28"/>
          <w:szCs w:val="28"/>
          <w:shd w:val="clear" w:color="auto" w:fill="FFFFFF"/>
        </w:rPr>
        <w:t xml:space="preserve">по созданию информационных материалов на интернет-порталах в информационно-телекоммуникационной сети «Интернет» и изготовлению видеоматериалов в рамках участия делегации от Кировской области </w:t>
      </w:r>
      <w:r>
        <w:rPr>
          <w:rFonts w:ascii="Times New Roman" w:hAnsi="Times New Roman" w:cs="Times New Roman"/>
          <w:sz w:val="28"/>
          <w:szCs w:val="28"/>
        </w:rPr>
        <w:t>в Петербургском международном экономическом форуме – 2024,</w:t>
      </w:r>
    </w:p>
    <w:p w14:paraId="575799A4">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Ро – цена за услугу </w:t>
      </w:r>
      <w:r>
        <w:rPr>
          <w:rFonts w:ascii="Times New Roman" w:hAnsi="Times New Roman" w:cs="Times New Roman"/>
          <w:color w:val="2C2D2E"/>
          <w:sz w:val="28"/>
          <w:szCs w:val="28"/>
          <w:shd w:val="clear" w:color="auto" w:fill="FFFFFF"/>
        </w:rPr>
        <w:t xml:space="preserve">по созданию информационных материалов на интернет-порталах в информационно-телекоммуникационной сети «Интернет» и изготовлению видеоматериалов в рамках участия делегации от Кировской области </w:t>
      </w:r>
      <w:r>
        <w:rPr>
          <w:rFonts w:ascii="Times New Roman" w:hAnsi="Times New Roman" w:cs="Times New Roman"/>
          <w:sz w:val="28"/>
          <w:szCs w:val="28"/>
        </w:rPr>
        <w:t>в Петербургском международном экономическом форуме – 2024.</w:t>
      </w:r>
    </w:p>
    <w:bookmarkEnd w:id="13"/>
    <w:p w14:paraId="367C488F">
      <w:pPr>
        <w:tabs>
          <w:tab w:val="left" w:pos="6795"/>
        </w:tabs>
        <w:jc w:val="both"/>
        <w:rPr>
          <w:rFonts w:ascii="Times New Roman" w:hAnsi="Times New Roman" w:cs="Times New Roman"/>
          <w:sz w:val="28"/>
          <w:szCs w:val="28"/>
        </w:rPr>
      </w:pPr>
    </w:p>
    <w:p w14:paraId="5710E4ED">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оказание услуг </w:t>
      </w:r>
      <w:r>
        <w:rPr>
          <w:rFonts w:ascii="Times New Roman" w:hAnsi="Times New Roman" w:cs="Times New Roman"/>
          <w:color w:val="2C2D2E"/>
          <w:sz w:val="28"/>
          <w:szCs w:val="28"/>
          <w:shd w:val="clear" w:color="auto" w:fill="FFFFFF"/>
        </w:rPr>
        <w:t xml:space="preserve">по созданию информационных материалов на интернет-порталах в информационно-телекоммуникационной сети «Интернет» и изготовлению видеоматериалов в рамках участия делегации от Кировской области </w:t>
      </w:r>
      <w:r>
        <w:rPr>
          <w:rFonts w:ascii="Times New Roman" w:hAnsi="Times New Roman" w:cs="Times New Roman"/>
          <w:sz w:val="28"/>
          <w:szCs w:val="28"/>
        </w:rPr>
        <w:t>в Петербургском международном экономическом форуме – 2024 производится в соответствии с нормативами согласно таблице № 64.</w:t>
      </w:r>
    </w:p>
    <w:p w14:paraId="4BFA9C11">
      <w:pPr>
        <w:tabs>
          <w:tab w:val="left" w:pos="6795"/>
        </w:tabs>
        <w:jc w:val="right"/>
        <w:rPr>
          <w:rFonts w:ascii="Times New Roman" w:hAnsi="Times New Roman" w:cs="Times New Roman"/>
          <w:sz w:val="28"/>
          <w:szCs w:val="28"/>
        </w:rPr>
      </w:pPr>
      <w:r>
        <w:rPr>
          <w:rFonts w:ascii="Times New Roman" w:hAnsi="Times New Roman" w:cs="Times New Roman"/>
          <w:sz w:val="28"/>
          <w:szCs w:val="28"/>
        </w:rPr>
        <w:t xml:space="preserve">Таблица № 64. </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70"/>
        <w:gridCol w:w="4871"/>
      </w:tblGrid>
      <w:tr w14:paraId="79D07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0" w:type="dxa"/>
          </w:tcPr>
          <w:p w14:paraId="2244A714">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оказания услуг</w:t>
            </w:r>
            <w:r>
              <w:rPr>
                <w:rFonts w:ascii="Times New Roman" w:hAnsi="Times New Roman" w:cs="Times New Roman"/>
                <w:color w:val="2C2D2E"/>
                <w:sz w:val="28"/>
                <w:szCs w:val="28"/>
                <w:shd w:val="clear" w:color="auto" w:fill="FFFFFF"/>
              </w:rPr>
              <w:t xml:space="preserve"> по созданию информационных материалов на интернет-порталах в информационно-телекоммуникационной сети «Интернет» и изготовлению видеоматериалов в рамках участия делегации от Кировской области </w:t>
            </w:r>
            <w:r>
              <w:rPr>
                <w:rFonts w:ascii="Times New Roman" w:hAnsi="Times New Roman" w:cs="Times New Roman"/>
                <w:sz w:val="28"/>
                <w:szCs w:val="28"/>
              </w:rPr>
              <w:t>в Петербургском международном экономическом форуме - 2024</w:t>
            </w:r>
          </w:p>
        </w:tc>
        <w:tc>
          <w:tcPr>
            <w:tcW w:w="4871" w:type="dxa"/>
          </w:tcPr>
          <w:p w14:paraId="571853BE">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цена за услугу </w:t>
            </w:r>
            <w:r>
              <w:rPr>
                <w:rFonts w:ascii="Times New Roman" w:hAnsi="Times New Roman" w:cs="Times New Roman"/>
                <w:color w:val="2C2D2E"/>
                <w:sz w:val="28"/>
                <w:szCs w:val="28"/>
                <w:shd w:val="clear" w:color="auto" w:fill="FFFFFF"/>
              </w:rPr>
              <w:t xml:space="preserve">по созданию информационных материалов на интернет-порталах в информационно-телекоммуникационной сети «Интернет» и изготовлению видеоматериалов в рамках участия делегации от Кировской области </w:t>
            </w:r>
            <w:r>
              <w:rPr>
                <w:rFonts w:ascii="Times New Roman" w:hAnsi="Times New Roman" w:cs="Times New Roman"/>
                <w:sz w:val="28"/>
                <w:szCs w:val="28"/>
              </w:rPr>
              <w:t xml:space="preserve">в Петербургском международном экономическом форуме - 2024; рублей в год  </w:t>
            </w:r>
          </w:p>
          <w:p w14:paraId="3ECA8155">
            <w:pPr>
              <w:tabs>
                <w:tab w:val="left" w:pos="6795"/>
              </w:tabs>
              <w:spacing w:after="0" w:line="240" w:lineRule="auto"/>
              <w:rPr>
                <w:rFonts w:ascii="Times New Roman" w:hAnsi="Times New Roman" w:cs="Times New Roman"/>
                <w:sz w:val="28"/>
                <w:szCs w:val="28"/>
              </w:rPr>
            </w:pPr>
          </w:p>
        </w:tc>
      </w:tr>
      <w:tr w14:paraId="0271E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0" w:type="dxa"/>
          </w:tcPr>
          <w:p w14:paraId="4D55E71E">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w:t>
            </w:r>
          </w:p>
        </w:tc>
        <w:tc>
          <w:tcPr>
            <w:tcW w:w="4871" w:type="dxa"/>
          </w:tcPr>
          <w:p w14:paraId="7390509F">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300 000,00</w:t>
            </w:r>
          </w:p>
        </w:tc>
      </w:tr>
    </w:tbl>
    <w:p w14:paraId="718167E4">
      <w:pPr>
        <w:tabs>
          <w:tab w:val="left" w:pos="6795"/>
        </w:tabs>
        <w:rPr>
          <w:rFonts w:ascii="Times New Roman" w:hAnsi="Times New Roman" w:cs="Times New Roman"/>
          <w:sz w:val="28"/>
          <w:szCs w:val="28"/>
        </w:rPr>
      </w:pPr>
    </w:p>
    <w:p w14:paraId="4CB4B7C3">
      <w:pPr>
        <w:tabs>
          <w:tab w:val="left" w:pos="6795"/>
        </w:tabs>
        <w:rPr>
          <w:rFonts w:ascii="Times New Roman" w:hAnsi="Times New Roman" w:cs="Times New Roman"/>
          <w:sz w:val="28"/>
          <w:szCs w:val="28"/>
        </w:rPr>
      </w:pPr>
    </w:p>
    <w:p w14:paraId="715042AB">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49. Затраты на </w:t>
      </w:r>
      <w:bookmarkStart w:id="16" w:name="_Hlk172099806"/>
      <w:r>
        <w:rPr>
          <w:rFonts w:ascii="Times New Roman" w:hAnsi="Times New Roman" w:cs="Times New Roman"/>
          <w:sz w:val="28"/>
          <w:szCs w:val="28"/>
        </w:rPr>
        <w:t xml:space="preserve">приобретение </w:t>
      </w:r>
      <w:bookmarkStart w:id="17" w:name="_Hlk172099610"/>
      <w:r>
        <w:rPr>
          <w:rFonts w:ascii="Times New Roman" w:hAnsi="Times New Roman" w:cs="Times New Roman"/>
          <w:sz w:val="28"/>
          <w:szCs w:val="28"/>
        </w:rPr>
        <w:t>наградных комплектов (нагрудной знак и флокированный футляр с универсальным ложементом) к почетному званию «ЗАСЛУЖЕННЫЙ ПРЕДПРИНИМАТЕЛЬ КИРОВСКОЙ ОБЛАСТИ»</w:t>
      </w:r>
      <w:bookmarkEnd w:id="16"/>
      <w:bookmarkEnd w:id="17"/>
      <w:r>
        <w:rPr>
          <w:rFonts w:ascii="Times New Roman" w:hAnsi="Times New Roman" w:cs="Times New Roman"/>
          <w:sz w:val="28"/>
          <w:szCs w:val="28"/>
        </w:rPr>
        <w:t xml:space="preserve"> ) (Знз) определяются по формуле:</w:t>
      </w:r>
    </w:p>
    <w:p w14:paraId="2F1A9C33">
      <w:pPr>
        <w:tabs>
          <w:tab w:val="left" w:pos="6795"/>
        </w:tabs>
        <w:jc w:val="both"/>
        <w:rPr>
          <w:rFonts w:ascii="Times New Roman" w:hAnsi="Times New Roman" w:cs="Times New Roman"/>
          <w:sz w:val="28"/>
          <w:szCs w:val="28"/>
        </w:rPr>
      </w:pPr>
      <w:r>
        <w:rPr>
          <w:rFonts w:ascii="Times New Roman" w:hAnsi="Times New Roman" w:cs="Times New Roman"/>
          <w:sz w:val="28"/>
          <w:szCs w:val="28"/>
        </w:rPr>
        <w:t>Знз=</w:t>
      </w:r>
      <w:r>
        <w:rPr>
          <w:rFonts w:ascii="Times New Roman" w:hAnsi="Times New Roman" w:cs="Times New Roman"/>
          <w:sz w:val="28"/>
          <w:szCs w:val="28"/>
          <w:lang w:val="en-US"/>
        </w:rPr>
        <w:t>Q</w:t>
      </w:r>
      <w:r>
        <w:rPr>
          <w:rFonts w:ascii="Times New Roman" w:hAnsi="Times New Roman" w:cs="Times New Roman"/>
          <w:sz w:val="28"/>
          <w:szCs w:val="28"/>
        </w:rPr>
        <w:t xml:space="preserve">нз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 xml:space="preserve">нз, где </w:t>
      </w:r>
    </w:p>
    <w:p w14:paraId="2AE71098">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нз – количество нагрудных комплектов (нагрудной знак и флокированный футляр с универсальным ложементом) к почетному званию «ЗАСЛУЖЕННЫЙ ПРЕДПРИНИМАТЕЛЬ КИРОВСКОЙ ОБЛАСТИ»</w:t>
      </w:r>
    </w:p>
    <w:p w14:paraId="7D74564E">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Рнз – цена за нагрудной комплект (нагрудной знак и флокированный футляр с универсальным ложементом) к почетному званию «ЗАСЛУЖЕННЫЙ ПРЕДПРИНИМАТЕЛЬ КИРОВСКОЙ ОБЛАСТИ» </w:t>
      </w:r>
    </w:p>
    <w:p w14:paraId="23CE7648">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нагрудных комплектов (нагрудной знак и флокированный футляр с универсальным ложементом) </w:t>
      </w:r>
    </w:p>
    <w:p w14:paraId="4C9BE62F">
      <w:pPr>
        <w:tabs>
          <w:tab w:val="left" w:pos="6795"/>
        </w:tabs>
        <w:jc w:val="both"/>
        <w:rPr>
          <w:rFonts w:ascii="Times New Roman" w:hAnsi="Times New Roman" w:cs="Times New Roman"/>
          <w:sz w:val="28"/>
          <w:szCs w:val="28"/>
        </w:rPr>
      </w:pPr>
      <w:r>
        <w:rPr>
          <w:rFonts w:ascii="Times New Roman" w:hAnsi="Times New Roman" w:cs="Times New Roman"/>
          <w:sz w:val="28"/>
          <w:szCs w:val="28"/>
        </w:rPr>
        <w:t>к почетному званию «ЗАСЛУЖЕННЫЙ ПРЕДПРИНИМАТЕЛЬ КИРОВСКОЙ ОБЛАСТИ» производится в соответствии с нормативами согласно таблице № 65.</w:t>
      </w:r>
    </w:p>
    <w:p w14:paraId="3D3A057D">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 65.</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70"/>
        <w:gridCol w:w="4871"/>
      </w:tblGrid>
      <w:tr w14:paraId="2DD95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0" w:type="dxa"/>
          </w:tcPr>
          <w:p w14:paraId="74B407A7">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количество нагрудных комплектов к почетному званию «ЗАСЛУЖЕННЫЙ ПРЕДПРИНИМАТЕЛЬ КИРОВСКОЙ ОБЛАСТИ», штук в год</w:t>
            </w:r>
          </w:p>
          <w:p w14:paraId="27F8D50F">
            <w:pPr>
              <w:tabs>
                <w:tab w:val="left" w:pos="6795"/>
              </w:tabs>
              <w:spacing w:after="0" w:line="240" w:lineRule="auto"/>
              <w:rPr>
                <w:rFonts w:ascii="Times New Roman" w:hAnsi="Times New Roman" w:cs="Times New Roman"/>
                <w:sz w:val="28"/>
                <w:szCs w:val="28"/>
              </w:rPr>
            </w:pPr>
          </w:p>
        </w:tc>
        <w:tc>
          <w:tcPr>
            <w:tcW w:w="4871" w:type="dxa"/>
          </w:tcPr>
          <w:p w14:paraId="61809D15">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цена за нагрудной комплект к почетному званию «ЗАСЛУЖЕННЫЙ ПРЕДПРИНИМАТЕЛЬ КИРОВСКОЙ ОБЛАСТИ», рублей в год за 1 знак</w:t>
            </w:r>
          </w:p>
          <w:p w14:paraId="10126C81">
            <w:pPr>
              <w:tabs>
                <w:tab w:val="left" w:pos="6795"/>
              </w:tabs>
              <w:spacing w:after="0" w:line="240" w:lineRule="auto"/>
              <w:rPr>
                <w:rFonts w:ascii="Times New Roman" w:hAnsi="Times New Roman" w:cs="Times New Roman"/>
                <w:sz w:val="28"/>
                <w:szCs w:val="28"/>
              </w:rPr>
            </w:pPr>
          </w:p>
        </w:tc>
      </w:tr>
      <w:tr w14:paraId="49431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0" w:type="dxa"/>
          </w:tcPr>
          <w:p w14:paraId="05391719">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10</w:t>
            </w:r>
          </w:p>
        </w:tc>
        <w:tc>
          <w:tcPr>
            <w:tcW w:w="4871" w:type="dxa"/>
          </w:tcPr>
          <w:p w14:paraId="7A37C9BC">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bl>
    <w:p w14:paraId="456A7C30">
      <w:pPr>
        <w:tabs>
          <w:tab w:val="left" w:pos="6795"/>
        </w:tabs>
        <w:rPr>
          <w:rFonts w:ascii="Times New Roman" w:hAnsi="Times New Roman" w:cs="Times New Roman"/>
          <w:sz w:val="28"/>
          <w:szCs w:val="28"/>
        </w:rPr>
      </w:pPr>
    </w:p>
    <w:p w14:paraId="2BDE7C79">
      <w:pPr>
        <w:tabs>
          <w:tab w:val="left" w:pos="6795"/>
        </w:tabs>
        <w:jc w:val="both"/>
        <w:rPr>
          <w:rFonts w:ascii="Times New Roman" w:hAnsi="Times New Roman" w:cs="Times New Roman"/>
          <w:sz w:val="28"/>
          <w:szCs w:val="28"/>
        </w:rPr>
      </w:pPr>
      <w:r>
        <w:rPr>
          <w:rFonts w:ascii="Times New Roman" w:hAnsi="Times New Roman" w:cs="Times New Roman"/>
          <w:sz w:val="28"/>
          <w:szCs w:val="28"/>
        </w:rPr>
        <w:t>50. Затраты на приобретение наградных комплектов (удостоверений к почетному званию «ЗАСЛУЖЕННЫЙ ПРЕДПРИНИМАТЕЛЬ КИРОВСКОЙ ОБЛАСТИ») (Зу) определяются по формуле:</w:t>
      </w:r>
    </w:p>
    <w:p w14:paraId="115A039A">
      <w:pPr>
        <w:tabs>
          <w:tab w:val="left" w:pos="6795"/>
        </w:tabs>
        <w:jc w:val="both"/>
        <w:rPr>
          <w:rFonts w:ascii="Times New Roman" w:hAnsi="Times New Roman" w:cs="Times New Roman"/>
          <w:sz w:val="28"/>
          <w:szCs w:val="28"/>
        </w:rPr>
      </w:pPr>
      <w:r>
        <w:rPr>
          <w:rFonts w:ascii="Times New Roman" w:hAnsi="Times New Roman" w:cs="Times New Roman"/>
          <w:sz w:val="28"/>
          <w:szCs w:val="28"/>
        </w:rPr>
        <w:t>Зу=</w:t>
      </w:r>
      <w:r>
        <w:rPr>
          <w:rFonts w:ascii="Times New Roman" w:hAnsi="Times New Roman" w:cs="Times New Roman"/>
          <w:sz w:val="28"/>
          <w:szCs w:val="28"/>
          <w:lang w:val="en-US"/>
        </w:rPr>
        <w:t>Q</w:t>
      </w:r>
      <w:r>
        <w:rPr>
          <w:rFonts w:ascii="Times New Roman" w:hAnsi="Times New Roman" w:cs="Times New Roman"/>
          <w:sz w:val="28"/>
          <w:szCs w:val="28"/>
        </w:rPr>
        <w:t xml:space="preserve">у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 xml:space="preserve">у, где </w:t>
      </w:r>
    </w:p>
    <w:p w14:paraId="4548F606">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у – количество удостоверений к почетному званию «ЗАСЛУЖЕННЫЙ ПРЕДПРИНИМАТЕЛЬ КИРОВСКОЙ ОБЛАСТИ»</w:t>
      </w:r>
    </w:p>
    <w:p w14:paraId="1B131E2C">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Ру – цена за удостоверение к почетному званию «ЗАСЛУЖЕННЫЙ ПРЕДПРИНИМАТЕЛЬ КИРОВСКОЙ ОБЛАСТИ» </w:t>
      </w:r>
    </w:p>
    <w:p w14:paraId="4779373B">
      <w:pPr>
        <w:tabs>
          <w:tab w:val="left" w:pos="6795"/>
        </w:tabs>
        <w:jc w:val="both"/>
        <w:rPr>
          <w:rFonts w:ascii="Times New Roman" w:hAnsi="Times New Roman" w:cs="Times New Roman"/>
          <w:sz w:val="28"/>
          <w:szCs w:val="28"/>
        </w:rPr>
      </w:pPr>
      <w:r>
        <w:rPr>
          <w:rFonts w:ascii="Times New Roman" w:hAnsi="Times New Roman" w:cs="Times New Roman"/>
          <w:sz w:val="28"/>
          <w:szCs w:val="28"/>
        </w:rPr>
        <w:t>Расчет затрат на приобретение нагрудных знаков к почетному званию «ЗАСЛУЖЕННЫЙ ПРЕДПРИНИМАТЕЛЬ КИРОВСКОЙ ОБЛАСТИ» производится в соответствии с нормативами согласно таблице № 66.</w:t>
      </w:r>
    </w:p>
    <w:p w14:paraId="188989CD">
      <w:pPr>
        <w:tabs>
          <w:tab w:val="left" w:pos="6795"/>
        </w:tabs>
        <w:jc w:val="both"/>
        <w:rPr>
          <w:rFonts w:ascii="Times New Roman" w:hAnsi="Times New Roman" w:cs="Times New Roman"/>
          <w:sz w:val="28"/>
          <w:szCs w:val="28"/>
        </w:rPr>
      </w:pPr>
    </w:p>
    <w:p w14:paraId="738CEE55">
      <w:pPr>
        <w:tabs>
          <w:tab w:val="left" w:pos="6795"/>
        </w:tabs>
        <w:jc w:val="both"/>
        <w:rPr>
          <w:rFonts w:ascii="Times New Roman" w:hAnsi="Times New Roman" w:cs="Times New Roman"/>
          <w:sz w:val="28"/>
          <w:szCs w:val="28"/>
        </w:rPr>
      </w:pPr>
    </w:p>
    <w:p w14:paraId="1A84145E">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 66.</w:t>
      </w:r>
    </w:p>
    <w:p w14:paraId="5685065D">
      <w:pPr>
        <w:tabs>
          <w:tab w:val="left" w:pos="6795"/>
        </w:tabs>
        <w:jc w:val="right"/>
        <w:rPr>
          <w:rFonts w:ascii="Times New Roman" w:hAnsi="Times New Roman" w:cs="Times New Roman"/>
          <w:sz w:val="28"/>
          <w:szCs w:val="28"/>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70"/>
        <w:gridCol w:w="4871"/>
      </w:tblGrid>
      <w:tr w14:paraId="4A9E3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0" w:type="dxa"/>
          </w:tcPr>
          <w:p w14:paraId="5C17F643">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количество удостоверений к почетному званию «ЗАСЛУЖЕННЫЙ ПРЕДПРИНИМАТЕЛЬ КИРОВСКОЙ ОБЛАСТИ», штук в год</w:t>
            </w:r>
          </w:p>
          <w:p w14:paraId="05941895">
            <w:pPr>
              <w:tabs>
                <w:tab w:val="left" w:pos="6795"/>
              </w:tabs>
              <w:spacing w:after="0" w:line="240" w:lineRule="auto"/>
              <w:rPr>
                <w:rFonts w:ascii="Times New Roman" w:hAnsi="Times New Roman" w:cs="Times New Roman"/>
                <w:sz w:val="28"/>
                <w:szCs w:val="28"/>
              </w:rPr>
            </w:pPr>
          </w:p>
        </w:tc>
        <w:tc>
          <w:tcPr>
            <w:tcW w:w="4871" w:type="dxa"/>
          </w:tcPr>
          <w:p w14:paraId="61547443">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цена за удостоверение к почетному званию «ЗАСЛУЖЕННЫЙ ПРЕДПРИНИМАТЕЛЬ КИРОВСКОЙ ОБЛАСТИ», рублей в год за 1 удостоверение </w:t>
            </w:r>
          </w:p>
          <w:p w14:paraId="1D7FCB12">
            <w:pPr>
              <w:tabs>
                <w:tab w:val="left" w:pos="6795"/>
              </w:tabs>
              <w:spacing w:after="0" w:line="240" w:lineRule="auto"/>
              <w:rPr>
                <w:rFonts w:ascii="Times New Roman" w:hAnsi="Times New Roman" w:cs="Times New Roman"/>
                <w:sz w:val="28"/>
                <w:szCs w:val="28"/>
              </w:rPr>
            </w:pPr>
          </w:p>
        </w:tc>
      </w:tr>
      <w:tr w14:paraId="5AB7D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0" w:type="dxa"/>
          </w:tcPr>
          <w:p w14:paraId="3351B5D8">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10</w:t>
            </w:r>
          </w:p>
        </w:tc>
        <w:tc>
          <w:tcPr>
            <w:tcW w:w="4871" w:type="dxa"/>
          </w:tcPr>
          <w:p w14:paraId="60BA00A6">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2 000,00</w:t>
            </w:r>
          </w:p>
        </w:tc>
      </w:tr>
    </w:tbl>
    <w:p w14:paraId="5C69E8C5">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Количество нагрудных знаков и удостоверений к ним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p>
    <w:p w14:paraId="05C74DB3">
      <w:pPr>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4"/>
          <w:szCs w:val="24"/>
        </w:rPr>
        <w:t xml:space="preserve">51. </w:t>
      </w:r>
      <w:r>
        <w:rPr>
          <w:rFonts w:ascii="Times New Roman" w:hAnsi="Times New Roman" w:cs="Times New Roman"/>
          <w:bCs/>
          <w:sz w:val="28"/>
          <w:szCs w:val="28"/>
        </w:rPr>
        <w:t>Затраты на оказание услуг по проведению специальной оценки условий труда (далее – СОУТ) рабочих мест (З</w:t>
      </w:r>
      <w:r>
        <w:rPr>
          <w:rFonts w:ascii="Times New Roman" w:hAnsi="Times New Roman" w:cs="Times New Roman"/>
          <w:bCs/>
          <w:sz w:val="20"/>
          <w:szCs w:val="20"/>
        </w:rPr>
        <w:t>соут</w:t>
      </w:r>
      <w:r>
        <w:rPr>
          <w:rFonts w:ascii="Times New Roman" w:hAnsi="Times New Roman" w:cs="Times New Roman"/>
          <w:bCs/>
          <w:sz w:val="28"/>
          <w:szCs w:val="28"/>
        </w:rPr>
        <w:t>) определяются по формуле:</w:t>
      </w:r>
    </w:p>
    <w:p w14:paraId="1718776C">
      <w:pPr>
        <w:autoSpaceDE w:val="0"/>
        <w:autoSpaceDN w:val="0"/>
        <w:adjustRightInd w:val="0"/>
        <w:jc w:val="both"/>
        <w:rPr>
          <w:rFonts w:ascii="Times New Roman" w:hAnsi="Times New Roman" w:cs="Times New Roman"/>
          <w:bCs/>
          <w:sz w:val="28"/>
          <w:szCs w:val="28"/>
        </w:rPr>
      </w:pPr>
    </w:p>
    <w:p w14:paraId="3E72E1F6">
      <w:pPr>
        <w:tabs>
          <w:tab w:val="left" w:pos="6795"/>
        </w:tabs>
        <w:jc w:val="both"/>
        <w:rPr>
          <w:rFonts w:ascii="Times New Roman" w:hAnsi="Times New Roman" w:cs="Times New Roman"/>
          <w:sz w:val="28"/>
          <w:szCs w:val="28"/>
        </w:rPr>
      </w:pPr>
      <w:r>
        <w:rPr>
          <w:rFonts w:ascii="Times New Roman" w:hAnsi="Times New Roman" w:cs="Times New Roman"/>
          <w:bCs/>
          <w:sz w:val="28"/>
          <w:szCs w:val="28"/>
        </w:rPr>
        <w:t>(З</w:t>
      </w:r>
      <w:r>
        <w:rPr>
          <w:rFonts w:ascii="Times New Roman" w:hAnsi="Times New Roman" w:cs="Times New Roman"/>
          <w:bCs/>
          <w:sz w:val="20"/>
          <w:szCs w:val="20"/>
        </w:rPr>
        <w:t>соут</w:t>
      </w:r>
      <w:r>
        <w:rPr>
          <w:rFonts w:ascii="Times New Roman" w:hAnsi="Times New Roman" w:cs="Times New Roman"/>
          <w:bCs/>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 </w:t>
      </w:r>
      <w:r>
        <w:rPr>
          <w:rFonts w:ascii="Times New Roman" w:hAnsi="Times New Roman" w:cs="Times New Roman"/>
          <w:bCs/>
          <w:sz w:val="20"/>
          <w:szCs w:val="20"/>
        </w:rPr>
        <w:t xml:space="preserve">соут </w:t>
      </w:r>
      <w:r>
        <w:rPr>
          <w:rFonts w:ascii="Times New Roman" w:hAnsi="Times New Roman" w:cs="Times New Roman"/>
          <w:sz w:val="28"/>
          <w:szCs w:val="28"/>
          <w:lang w:val="en-US"/>
        </w:rPr>
        <w:t>x</w:t>
      </w:r>
      <w:r>
        <w:rPr>
          <w:rFonts w:ascii="Times New Roman" w:hAnsi="Times New Roman" w:cs="Times New Roman"/>
          <w:sz w:val="28"/>
          <w:szCs w:val="28"/>
        </w:rPr>
        <w:t xml:space="preserve"> </w:t>
      </w:r>
      <w:bookmarkStart w:id="18" w:name="_Hlk175216872"/>
      <w:r>
        <w:rPr>
          <w:rFonts w:ascii="Times New Roman" w:hAnsi="Times New Roman" w:cs="Times New Roman"/>
          <w:sz w:val="28"/>
          <w:szCs w:val="28"/>
          <w:lang w:val="en-US"/>
        </w:rPr>
        <w:t>P</w:t>
      </w:r>
      <w:r>
        <w:rPr>
          <w:rFonts w:ascii="Times New Roman" w:hAnsi="Times New Roman" w:cs="Times New Roman"/>
          <w:bCs/>
          <w:sz w:val="20"/>
          <w:szCs w:val="20"/>
        </w:rPr>
        <w:t>соут</w:t>
      </w:r>
      <w:bookmarkEnd w:id="18"/>
      <w:r>
        <w:rPr>
          <w:rFonts w:ascii="Times New Roman" w:hAnsi="Times New Roman" w:cs="Times New Roman"/>
          <w:sz w:val="28"/>
          <w:szCs w:val="28"/>
        </w:rPr>
        <w:t xml:space="preserve">, где </w:t>
      </w:r>
    </w:p>
    <w:p w14:paraId="3F3481F2">
      <w:pPr>
        <w:tabs>
          <w:tab w:val="left" w:pos="6795"/>
        </w:tabs>
        <w:rPr>
          <w:rFonts w:ascii="Times New Roman" w:hAnsi="Times New Roman" w:cs="Times New Roman"/>
          <w:bCs/>
          <w:sz w:val="28"/>
          <w:szCs w:val="28"/>
        </w:rPr>
      </w:pPr>
      <w:r>
        <w:rPr>
          <w:rFonts w:ascii="Times New Roman" w:hAnsi="Times New Roman" w:cs="Times New Roman"/>
          <w:sz w:val="28"/>
          <w:szCs w:val="28"/>
          <w:lang w:val="en-US"/>
        </w:rPr>
        <w:t>Q</w:t>
      </w:r>
      <w:r>
        <w:rPr>
          <w:rFonts w:ascii="Times New Roman" w:hAnsi="Times New Roman" w:cs="Times New Roman"/>
          <w:sz w:val="28"/>
          <w:szCs w:val="28"/>
        </w:rPr>
        <w:t xml:space="preserve"> </w:t>
      </w:r>
      <w:r>
        <w:rPr>
          <w:rFonts w:ascii="Times New Roman" w:hAnsi="Times New Roman" w:cs="Times New Roman"/>
          <w:bCs/>
          <w:sz w:val="20"/>
          <w:szCs w:val="20"/>
        </w:rPr>
        <w:t xml:space="preserve">соут </w:t>
      </w:r>
      <w:r>
        <w:rPr>
          <w:rFonts w:ascii="Times New Roman" w:hAnsi="Times New Roman" w:cs="Times New Roman"/>
          <w:bCs/>
          <w:sz w:val="28"/>
          <w:szCs w:val="28"/>
        </w:rPr>
        <w:t>– количество рабочих мест,</w:t>
      </w:r>
    </w:p>
    <w:p w14:paraId="500F515A">
      <w:pPr>
        <w:tabs>
          <w:tab w:val="left" w:pos="6795"/>
        </w:tabs>
        <w:rPr>
          <w:rFonts w:ascii="Times New Roman" w:hAnsi="Times New Roman" w:cs="Times New Roman"/>
          <w:bCs/>
          <w:sz w:val="20"/>
          <w:szCs w:val="20"/>
        </w:rPr>
      </w:pPr>
      <w:r>
        <w:rPr>
          <w:rFonts w:ascii="Times New Roman" w:hAnsi="Times New Roman" w:cs="Times New Roman"/>
          <w:sz w:val="28"/>
          <w:szCs w:val="28"/>
          <w:lang w:val="en-US"/>
        </w:rPr>
        <w:t>P</w:t>
      </w:r>
      <w:r>
        <w:rPr>
          <w:rFonts w:ascii="Times New Roman" w:hAnsi="Times New Roman" w:cs="Times New Roman"/>
          <w:bCs/>
          <w:sz w:val="20"/>
          <w:szCs w:val="20"/>
        </w:rPr>
        <w:t xml:space="preserve">соут – </w:t>
      </w:r>
      <w:r>
        <w:rPr>
          <w:rFonts w:ascii="Times New Roman" w:hAnsi="Times New Roman" w:cs="Times New Roman"/>
          <w:bCs/>
          <w:sz w:val="28"/>
          <w:szCs w:val="28"/>
        </w:rPr>
        <w:t xml:space="preserve"> цена за услугу проведения специальной оценки условий труда одного рабочего места</w:t>
      </w:r>
    </w:p>
    <w:p w14:paraId="576F3517">
      <w:pPr>
        <w:tabs>
          <w:tab w:val="left" w:pos="6795"/>
        </w:tabs>
        <w:jc w:val="both"/>
        <w:rPr>
          <w:rFonts w:ascii="Times New Roman" w:hAnsi="Times New Roman" w:cs="Times New Roman"/>
          <w:sz w:val="28"/>
          <w:szCs w:val="28"/>
        </w:rPr>
      </w:pPr>
      <w:r>
        <w:rPr>
          <w:rFonts w:ascii="Times New Roman" w:hAnsi="Times New Roman" w:cs="Times New Roman"/>
          <w:sz w:val="28"/>
          <w:szCs w:val="28"/>
        </w:rPr>
        <w:t>Расчет затрат на</w:t>
      </w:r>
      <w:r>
        <w:rPr>
          <w:rFonts w:ascii="Times New Roman" w:hAnsi="Times New Roman" w:cs="Times New Roman"/>
          <w:bCs/>
          <w:sz w:val="28"/>
          <w:szCs w:val="28"/>
        </w:rPr>
        <w:t xml:space="preserve"> оказание услуг по проведению специальной оценки условий труда (далее – СОУТ) рабочих мест</w:t>
      </w:r>
      <w:r>
        <w:rPr>
          <w:rFonts w:ascii="Times New Roman" w:hAnsi="Times New Roman" w:cs="Times New Roman"/>
          <w:sz w:val="28"/>
          <w:szCs w:val="28"/>
        </w:rPr>
        <w:t xml:space="preserve"> производится в соответствии с нормативами согласно таблице № 67.</w:t>
      </w:r>
    </w:p>
    <w:p w14:paraId="19DFBCC7">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67.</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70"/>
        <w:gridCol w:w="4871"/>
      </w:tblGrid>
      <w:tr w14:paraId="73B45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0" w:type="dxa"/>
          </w:tcPr>
          <w:p w14:paraId="4E85319F">
            <w:pPr>
              <w:tabs>
                <w:tab w:val="left" w:pos="6795"/>
              </w:tabs>
              <w:spacing w:after="0" w:line="240" w:lineRule="auto"/>
              <w:rPr>
                <w:rFonts w:ascii="Times New Roman" w:hAnsi="Times New Roman" w:cs="Times New Roman"/>
                <w:sz w:val="28"/>
                <w:szCs w:val="28"/>
              </w:rPr>
            </w:pPr>
            <w:r>
              <w:rPr>
                <w:rFonts w:ascii="Times New Roman" w:hAnsi="Times New Roman" w:cs="Times New Roman"/>
                <w:bCs/>
                <w:sz w:val="28"/>
                <w:szCs w:val="28"/>
              </w:rPr>
              <w:t xml:space="preserve"> количество рабочих мест</w:t>
            </w:r>
          </w:p>
        </w:tc>
        <w:tc>
          <w:tcPr>
            <w:tcW w:w="4871" w:type="dxa"/>
          </w:tcPr>
          <w:p w14:paraId="732020EF">
            <w:pPr>
              <w:tabs>
                <w:tab w:val="left" w:pos="6795"/>
              </w:tabs>
              <w:spacing w:after="0" w:line="240" w:lineRule="auto"/>
              <w:rPr>
                <w:rFonts w:ascii="Times New Roman" w:hAnsi="Times New Roman" w:cs="Times New Roman"/>
                <w:bCs/>
                <w:sz w:val="20"/>
                <w:szCs w:val="20"/>
              </w:rPr>
            </w:pPr>
            <w:r>
              <w:rPr>
                <w:rFonts w:ascii="Times New Roman" w:hAnsi="Times New Roman" w:cs="Times New Roman"/>
                <w:bCs/>
                <w:sz w:val="28"/>
                <w:szCs w:val="28"/>
              </w:rPr>
              <w:t>цена за услугу проведения специальной оценки условий труда одного рабочего места, рублей</w:t>
            </w:r>
          </w:p>
          <w:p w14:paraId="66CD7953">
            <w:pPr>
              <w:tabs>
                <w:tab w:val="left" w:pos="6795"/>
              </w:tabs>
              <w:spacing w:after="0" w:line="240" w:lineRule="auto"/>
              <w:rPr>
                <w:rFonts w:ascii="Times New Roman" w:hAnsi="Times New Roman" w:cs="Times New Roman"/>
                <w:sz w:val="28"/>
                <w:szCs w:val="28"/>
              </w:rPr>
            </w:pPr>
          </w:p>
        </w:tc>
      </w:tr>
      <w:tr w14:paraId="59FB0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0" w:type="dxa"/>
          </w:tcPr>
          <w:p w14:paraId="68E679A5">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w:t>
            </w:r>
          </w:p>
        </w:tc>
        <w:tc>
          <w:tcPr>
            <w:tcW w:w="4871" w:type="dxa"/>
          </w:tcPr>
          <w:p w14:paraId="6CD59D29">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bl>
    <w:p w14:paraId="7452F0D8">
      <w:pPr>
        <w:autoSpaceDE w:val="0"/>
        <w:autoSpaceDN w:val="0"/>
        <w:adjustRightInd w:val="0"/>
        <w:jc w:val="both"/>
        <w:rPr>
          <w:rFonts w:ascii="Times New Roman" w:hAnsi="Times New Roman" w:cs="Times New Roman"/>
          <w:bCs/>
          <w:sz w:val="28"/>
          <w:szCs w:val="28"/>
        </w:rPr>
      </w:pPr>
      <w:r>
        <w:rPr>
          <w:rFonts w:ascii="Times New Roman" w:hAnsi="Times New Roman" w:cs="Times New Roman"/>
          <w:sz w:val="28"/>
          <w:szCs w:val="28"/>
        </w:rPr>
        <w:t xml:space="preserve">52. </w:t>
      </w:r>
      <w:bookmarkStart w:id="19" w:name="_Hlk177051586"/>
      <w:r>
        <w:rPr>
          <w:rFonts w:ascii="Times New Roman" w:hAnsi="Times New Roman" w:cs="Times New Roman"/>
          <w:bCs/>
          <w:sz w:val="28"/>
          <w:szCs w:val="28"/>
        </w:rPr>
        <w:t xml:space="preserve">Затраты подведомственного учреждения на оказание </w:t>
      </w:r>
      <w:bookmarkStart w:id="20" w:name="_Hlk177044293"/>
      <w:r>
        <w:rPr>
          <w:rFonts w:ascii="Times New Roman" w:hAnsi="Times New Roman" w:cs="Times New Roman"/>
          <w:bCs/>
          <w:sz w:val="28"/>
          <w:szCs w:val="28"/>
        </w:rPr>
        <w:t>услуг по разработке локального сметного расчета, дефектной ведомости</w:t>
      </w:r>
      <w:bookmarkEnd w:id="20"/>
      <w:r>
        <w:rPr>
          <w:rFonts w:ascii="Times New Roman" w:hAnsi="Times New Roman" w:cs="Times New Roman"/>
          <w:bCs/>
          <w:sz w:val="28"/>
          <w:szCs w:val="28"/>
        </w:rPr>
        <w:t xml:space="preserve"> для выполнения работ по устройству или ремонту помещений учреждения  (Зрлс) определяются по формуле:</w:t>
      </w:r>
    </w:p>
    <w:p w14:paraId="2CEE8754">
      <w:pPr>
        <w:autoSpaceDE w:val="0"/>
        <w:autoSpaceDN w:val="0"/>
        <w:adjustRightInd w:val="0"/>
        <w:jc w:val="both"/>
        <w:rPr>
          <w:rFonts w:ascii="Times New Roman" w:hAnsi="Times New Roman" w:cs="Times New Roman"/>
          <w:bCs/>
          <w:sz w:val="28"/>
          <w:szCs w:val="28"/>
        </w:rPr>
      </w:pPr>
    </w:p>
    <w:p w14:paraId="55CA7AE7">
      <w:pPr>
        <w:tabs>
          <w:tab w:val="left" w:pos="6795"/>
        </w:tabs>
        <w:jc w:val="both"/>
        <w:rPr>
          <w:rFonts w:ascii="Times New Roman" w:hAnsi="Times New Roman" w:cs="Times New Roman"/>
          <w:sz w:val="28"/>
          <w:szCs w:val="28"/>
        </w:rPr>
      </w:pPr>
      <w:r>
        <w:rPr>
          <w:rFonts w:ascii="Times New Roman" w:hAnsi="Times New Roman" w:cs="Times New Roman"/>
          <w:bCs/>
          <w:sz w:val="28"/>
          <w:szCs w:val="28"/>
        </w:rPr>
        <w:t xml:space="preserve">(З </w:t>
      </w:r>
      <w:r>
        <w:rPr>
          <w:rFonts w:ascii="Times New Roman" w:hAnsi="Times New Roman" w:cs="Times New Roman"/>
          <w:bCs/>
          <w:sz w:val="24"/>
          <w:szCs w:val="24"/>
        </w:rPr>
        <w:t>рлс</w:t>
      </w:r>
      <w:r>
        <w:rPr>
          <w:rFonts w:ascii="Times New Roman" w:hAnsi="Times New Roman" w:cs="Times New Roman"/>
          <w:bCs/>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 </w:t>
      </w:r>
      <w:r>
        <w:rPr>
          <w:rFonts w:ascii="Times New Roman" w:hAnsi="Times New Roman" w:cs="Times New Roman"/>
          <w:sz w:val="24"/>
          <w:szCs w:val="24"/>
        </w:rPr>
        <w:t>рлс</w:t>
      </w:r>
      <w:r>
        <w:rPr>
          <w:rFonts w:ascii="Times New Roman" w:hAnsi="Times New Roman" w:cs="Times New Roman"/>
          <w:bCs/>
          <w:sz w:val="24"/>
          <w:szCs w:val="24"/>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4"/>
          <w:szCs w:val="24"/>
        </w:rPr>
        <w:t>рлс</w:t>
      </w:r>
      <w:r>
        <w:rPr>
          <w:rFonts w:ascii="Times New Roman" w:hAnsi="Times New Roman" w:cs="Times New Roman"/>
          <w:sz w:val="28"/>
          <w:szCs w:val="28"/>
        </w:rPr>
        <w:t xml:space="preserve">, где </w:t>
      </w:r>
    </w:p>
    <w:p w14:paraId="53D9E481">
      <w:pPr>
        <w:tabs>
          <w:tab w:val="left" w:pos="6795"/>
        </w:tabs>
        <w:rPr>
          <w:rFonts w:ascii="Times New Roman" w:hAnsi="Times New Roman" w:cs="Times New Roman"/>
          <w:bCs/>
          <w:sz w:val="28"/>
          <w:szCs w:val="28"/>
        </w:rPr>
      </w:pPr>
      <w:r>
        <w:rPr>
          <w:rFonts w:ascii="Times New Roman" w:hAnsi="Times New Roman" w:cs="Times New Roman"/>
          <w:sz w:val="28"/>
          <w:szCs w:val="28"/>
          <w:lang w:val="en-US"/>
        </w:rPr>
        <w:t>Q</w:t>
      </w:r>
      <w:r>
        <w:rPr>
          <w:rFonts w:ascii="Times New Roman" w:hAnsi="Times New Roman" w:cs="Times New Roman"/>
          <w:sz w:val="28"/>
          <w:szCs w:val="28"/>
        </w:rPr>
        <w:t xml:space="preserve"> </w:t>
      </w:r>
      <w:r>
        <w:rPr>
          <w:rFonts w:ascii="Times New Roman" w:hAnsi="Times New Roman" w:cs="Times New Roman"/>
          <w:sz w:val="24"/>
          <w:szCs w:val="24"/>
        </w:rPr>
        <w:t>рлс</w:t>
      </w:r>
      <w:r>
        <w:rPr>
          <w:rFonts w:ascii="Times New Roman" w:hAnsi="Times New Roman" w:cs="Times New Roman"/>
          <w:bCs/>
          <w:sz w:val="20"/>
          <w:szCs w:val="20"/>
        </w:rPr>
        <w:t xml:space="preserve"> </w:t>
      </w:r>
      <w:r>
        <w:rPr>
          <w:rFonts w:ascii="Times New Roman" w:hAnsi="Times New Roman" w:cs="Times New Roman"/>
          <w:bCs/>
          <w:sz w:val="28"/>
          <w:szCs w:val="28"/>
        </w:rPr>
        <w:t>– количество услуг по разработке локального сметного расчета, дефектной ведомости,</w:t>
      </w:r>
    </w:p>
    <w:p w14:paraId="69201AFA">
      <w:pPr>
        <w:tabs>
          <w:tab w:val="left" w:pos="6795"/>
        </w:tabs>
        <w:rPr>
          <w:rFonts w:ascii="Times New Roman" w:hAnsi="Times New Roman" w:cs="Times New Roman"/>
          <w:bCs/>
          <w:sz w:val="20"/>
          <w:szCs w:val="20"/>
        </w:rPr>
      </w:pPr>
      <w:r>
        <w:rPr>
          <w:rFonts w:ascii="Times New Roman" w:hAnsi="Times New Roman" w:cs="Times New Roman"/>
          <w:sz w:val="28"/>
          <w:szCs w:val="28"/>
          <w:lang w:val="en-US"/>
        </w:rPr>
        <w:t>P</w:t>
      </w:r>
      <w:r>
        <w:rPr>
          <w:rFonts w:ascii="Times New Roman" w:hAnsi="Times New Roman" w:cs="Times New Roman"/>
          <w:sz w:val="28"/>
          <w:szCs w:val="28"/>
        </w:rPr>
        <w:t xml:space="preserve"> </w:t>
      </w:r>
      <w:r>
        <w:rPr>
          <w:rFonts w:ascii="Times New Roman" w:hAnsi="Times New Roman" w:cs="Times New Roman"/>
          <w:sz w:val="24"/>
          <w:szCs w:val="24"/>
        </w:rPr>
        <w:t>рлс</w:t>
      </w:r>
      <w:r>
        <w:rPr>
          <w:rFonts w:ascii="Times New Roman" w:hAnsi="Times New Roman" w:cs="Times New Roman"/>
          <w:bCs/>
          <w:sz w:val="20"/>
          <w:szCs w:val="20"/>
        </w:rPr>
        <w:t xml:space="preserve"> – </w:t>
      </w:r>
      <w:r>
        <w:rPr>
          <w:rFonts w:ascii="Times New Roman" w:hAnsi="Times New Roman" w:cs="Times New Roman"/>
          <w:bCs/>
          <w:sz w:val="28"/>
          <w:szCs w:val="28"/>
        </w:rPr>
        <w:t xml:space="preserve">  цена за услугу по разработке локального сметного расчета, дефектной ведомости</w:t>
      </w:r>
    </w:p>
    <w:p w14:paraId="0FB7DB2A">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Расчет затрат </w:t>
      </w:r>
      <w:r>
        <w:rPr>
          <w:rFonts w:ascii="Times New Roman" w:hAnsi="Times New Roman" w:cs="Times New Roman"/>
          <w:bCs/>
          <w:sz w:val="28"/>
          <w:szCs w:val="28"/>
        </w:rPr>
        <w:t>подведомственного учреждения на оказание услуг по разработке локального сметного расчета, дефектной ведомости для выполнения работ по устройству или ремонту помещений учреждения</w:t>
      </w:r>
      <w:r>
        <w:rPr>
          <w:rFonts w:ascii="Times New Roman" w:hAnsi="Times New Roman" w:cs="Times New Roman"/>
          <w:sz w:val="28"/>
          <w:szCs w:val="28"/>
        </w:rPr>
        <w:t xml:space="preserve"> производится в соответствии с нормативами согласно таблице № 68. </w:t>
      </w:r>
    </w:p>
    <w:bookmarkEnd w:id="19"/>
    <w:p w14:paraId="1B9FC767">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№68.</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70"/>
        <w:gridCol w:w="4871"/>
      </w:tblGrid>
      <w:tr w14:paraId="5BC4F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0" w:type="dxa"/>
          </w:tcPr>
          <w:p w14:paraId="05CC483B">
            <w:pPr>
              <w:tabs>
                <w:tab w:val="left" w:pos="6795"/>
              </w:tabs>
              <w:spacing w:after="0" w:line="240" w:lineRule="auto"/>
              <w:rPr>
                <w:rFonts w:ascii="Times New Roman" w:hAnsi="Times New Roman" w:cs="Times New Roman"/>
                <w:bCs/>
                <w:sz w:val="28"/>
                <w:szCs w:val="28"/>
              </w:rPr>
            </w:pPr>
            <w:r>
              <w:rPr>
                <w:rFonts w:ascii="Times New Roman" w:hAnsi="Times New Roman" w:cs="Times New Roman"/>
                <w:bCs/>
                <w:sz w:val="28"/>
                <w:szCs w:val="28"/>
              </w:rPr>
              <w:t>количество услуг по разработке локального сметного расчета, дефектной ведомости</w:t>
            </w:r>
          </w:p>
          <w:p w14:paraId="1E8F2E2D">
            <w:pPr>
              <w:tabs>
                <w:tab w:val="left" w:pos="6795"/>
              </w:tabs>
              <w:spacing w:after="0" w:line="240" w:lineRule="auto"/>
              <w:jc w:val="both"/>
              <w:rPr>
                <w:rFonts w:ascii="Times New Roman" w:hAnsi="Times New Roman" w:cs="Times New Roman"/>
                <w:sz w:val="28"/>
                <w:szCs w:val="28"/>
              </w:rPr>
            </w:pPr>
          </w:p>
        </w:tc>
        <w:tc>
          <w:tcPr>
            <w:tcW w:w="4871" w:type="dxa"/>
          </w:tcPr>
          <w:p w14:paraId="44BE06CF">
            <w:pPr>
              <w:tabs>
                <w:tab w:val="left" w:pos="6795"/>
              </w:tabs>
              <w:spacing w:after="0" w:line="240" w:lineRule="auto"/>
              <w:rPr>
                <w:rFonts w:ascii="Times New Roman" w:hAnsi="Times New Roman" w:cs="Times New Roman"/>
                <w:bCs/>
                <w:sz w:val="20"/>
                <w:szCs w:val="20"/>
              </w:rPr>
            </w:pPr>
            <w:r>
              <w:rPr>
                <w:rFonts w:ascii="Times New Roman" w:hAnsi="Times New Roman" w:cs="Times New Roman"/>
                <w:bCs/>
                <w:sz w:val="28"/>
                <w:szCs w:val="28"/>
              </w:rPr>
              <w:t>цена за услугу по разработке локального сметного расчета, дефектной ведомости</w:t>
            </w:r>
          </w:p>
          <w:p w14:paraId="75EB37B5">
            <w:pPr>
              <w:tabs>
                <w:tab w:val="left" w:pos="6795"/>
              </w:tabs>
              <w:spacing w:after="0" w:line="240" w:lineRule="auto"/>
              <w:jc w:val="both"/>
              <w:rPr>
                <w:rFonts w:ascii="Times New Roman" w:hAnsi="Times New Roman" w:cs="Times New Roman"/>
                <w:sz w:val="28"/>
                <w:szCs w:val="28"/>
              </w:rPr>
            </w:pPr>
          </w:p>
        </w:tc>
      </w:tr>
      <w:tr w14:paraId="07F4E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0" w:type="dxa"/>
          </w:tcPr>
          <w:p w14:paraId="2F9A4983">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w:t>
            </w:r>
          </w:p>
        </w:tc>
        <w:tc>
          <w:tcPr>
            <w:tcW w:w="4871" w:type="dxa"/>
          </w:tcPr>
          <w:p w14:paraId="4D030573">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bl>
    <w:p w14:paraId="15FE761C">
      <w:pPr>
        <w:tabs>
          <w:tab w:val="left" w:pos="6795"/>
        </w:tabs>
        <w:jc w:val="both"/>
        <w:rPr>
          <w:rFonts w:ascii="Times New Roman" w:hAnsi="Times New Roman" w:cs="Times New Roman"/>
          <w:sz w:val="28"/>
          <w:szCs w:val="28"/>
        </w:rPr>
      </w:pPr>
    </w:p>
    <w:p w14:paraId="62AEE9F2">
      <w:pPr>
        <w:autoSpaceDE w:val="0"/>
        <w:autoSpaceDN w:val="0"/>
        <w:adjustRightInd w:val="0"/>
        <w:jc w:val="both"/>
        <w:rPr>
          <w:rFonts w:ascii="Times New Roman" w:hAnsi="Times New Roman" w:cs="Times New Roman"/>
          <w:bCs/>
          <w:sz w:val="28"/>
          <w:szCs w:val="28"/>
        </w:rPr>
      </w:pPr>
      <w:r>
        <w:rPr>
          <w:rFonts w:ascii="Times New Roman" w:hAnsi="Times New Roman" w:cs="Times New Roman"/>
          <w:sz w:val="28"/>
          <w:szCs w:val="28"/>
        </w:rPr>
        <w:t xml:space="preserve">53. </w:t>
      </w:r>
      <w:r>
        <w:rPr>
          <w:rFonts w:ascii="Times New Roman" w:hAnsi="Times New Roman" w:cs="Times New Roman"/>
          <w:bCs/>
          <w:sz w:val="28"/>
          <w:szCs w:val="28"/>
        </w:rPr>
        <w:t>Затраты подведомственного учреждения на оказание услуг по устройству помещений учреждения (Зуп) определяются по формуле:</w:t>
      </w:r>
    </w:p>
    <w:p w14:paraId="6B51C24D">
      <w:pPr>
        <w:autoSpaceDE w:val="0"/>
        <w:autoSpaceDN w:val="0"/>
        <w:adjustRightInd w:val="0"/>
        <w:jc w:val="both"/>
        <w:rPr>
          <w:rFonts w:ascii="Times New Roman" w:hAnsi="Times New Roman" w:cs="Times New Roman"/>
          <w:bCs/>
          <w:sz w:val="28"/>
          <w:szCs w:val="28"/>
        </w:rPr>
      </w:pPr>
    </w:p>
    <w:p w14:paraId="3A97F890">
      <w:pPr>
        <w:tabs>
          <w:tab w:val="left" w:pos="6795"/>
        </w:tabs>
        <w:jc w:val="both"/>
        <w:rPr>
          <w:rFonts w:ascii="Times New Roman" w:hAnsi="Times New Roman" w:cs="Times New Roman"/>
          <w:sz w:val="28"/>
          <w:szCs w:val="28"/>
        </w:rPr>
      </w:pPr>
      <w:r>
        <w:rPr>
          <w:rFonts w:ascii="Times New Roman" w:hAnsi="Times New Roman" w:cs="Times New Roman"/>
          <w:bCs/>
          <w:sz w:val="28"/>
          <w:szCs w:val="28"/>
        </w:rPr>
        <w:t>(З</w:t>
      </w:r>
      <w:r>
        <w:rPr>
          <w:rFonts w:ascii="Times New Roman" w:hAnsi="Times New Roman" w:cs="Times New Roman"/>
          <w:bCs/>
          <w:sz w:val="24"/>
          <w:szCs w:val="24"/>
        </w:rPr>
        <w:t>уп</w:t>
      </w:r>
      <w:r>
        <w:rPr>
          <w:rFonts w:ascii="Times New Roman" w:hAnsi="Times New Roman" w:cs="Times New Roman"/>
          <w:bCs/>
          <w:sz w:val="28"/>
          <w:szCs w:val="28"/>
        </w:rPr>
        <w:t>)=</w:t>
      </w:r>
      <w:r>
        <w:rPr>
          <w:rFonts w:ascii="Times New Roman" w:hAnsi="Times New Roman" w:cs="Times New Roman"/>
          <w:sz w:val="28"/>
          <w:szCs w:val="28"/>
          <w:lang w:val="en-US"/>
        </w:rPr>
        <w:t>Q</w:t>
      </w:r>
      <w:r>
        <w:rPr>
          <w:rFonts w:ascii="Times New Roman" w:hAnsi="Times New Roman" w:cs="Times New Roman"/>
          <w:sz w:val="24"/>
          <w:szCs w:val="24"/>
        </w:rPr>
        <w:t>уп</w:t>
      </w:r>
      <w:r>
        <w:rPr>
          <w:rFonts w:ascii="Times New Roman" w:hAnsi="Times New Roman" w:cs="Times New Roman"/>
          <w:bCs/>
          <w:sz w:val="24"/>
          <w:szCs w:val="24"/>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4"/>
          <w:szCs w:val="24"/>
        </w:rPr>
        <w:t>уп</w:t>
      </w:r>
      <w:r>
        <w:rPr>
          <w:rFonts w:ascii="Times New Roman" w:hAnsi="Times New Roman" w:cs="Times New Roman"/>
          <w:sz w:val="28"/>
          <w:szCs w:val="28"/>
        </w:rPr>
        <w:t xml:space="preserve">, где </w:t>
      </w:r>
    </w:p>
    <w:p w14:paraId="73277810">
      <w:pPr>
        <w:tabs>
          <w:tab w:val="left" w:pos="6795"/>
        </w:tabs>
        <w:rPr>
          <w:rFonts w:ascii="Times New Roman" w:hAnsi="Times New Roman" w:cs="Times New Roman"/>
          <w:bCs/>
          <w:sz w:val="28"/>
          <w:szCs w:val="28"/>
        </w:rPr>
      </w:pPr>
      <w:r>
        <w:rPr>
          <w:rFonts w:ascii="Times New Roman" w:hAnsi="Times New Roman" w:cs="Times New Roman"/>
          <w:sz w:val="28"/>
          <w:szCs w:val="28"/>
          <w:lang w:val="en-US"/>
        </w:rPr>
        <w:t>Q</w:t>
      </w:r>
      <w:r>
        <w:rPr>
          <w:rFonts w:ascii="Times New Roman" w:hAnsi="Times New Roman" w:cs="Times New Roman"/>
          <w:sz w:val="24"/>
          <w:szCs w:val="24"/>
        </w:rPr>
        <w:t>уп</w:t>
      </w:r>
      <w:r>
        <w:rPr>
          <w:rFonts w:ascii="Times New Roman" w:hAnsi="Times New Roman" w:cs="Times New Roman"/>
          <w:sz w:val="28"/>
          <w:szCs w:val="28"/>
        </w:rPr>
        <w:t xml:space="preserve"> </w:t>
      </w:r>
      <w:r>
        <w:rPr>
          <w:rFonts w:ascii="Times New Roman" w:hAnsi="Times New Roman" w:cs="Times New Roman"/>
          <w:bCs/>
          <w:sz w:val="20"/>
          <w:szCs w:val="20"/>
        </w:rPr>
        <w:t xml:space="preserve"> </w:t>
      </w:r>
      <w:r>
        <w:rPr>
          <w:rFonts w:ascii="Times New Roman" w:hAnsi="Times New Roman" w:cs="Times New Roman"/>
          <w:bCs/>
          <w:sz w:val="28"/>
          <w:szCs w:val="28"/>
        </w:rPr>
        <w:t>– количество услуг по устройству помещений,</w:t>
      </w:r>
    </w:p>
    <w:p w14:paraId="4C35F027">
      <w:pPr>
        <w:tabs>
          <w:tab w:val="left" w:pos="6795"/>
        </w:tabs>
        <w:rPr>
          <w:rFonts w:ascii="Times New Roman" w:hAnsi="Times New Roman" w:cs="Times New Roman"/>
          <w:bCs/>
          <w:sz w:val="20"/>
          <w:szCs w:val="20"/>
        </w:rPr>
      </w:pPr>
      <w:r>
        <w:rPr>
          <w:rFonts w:ascii="Times New Roman" w:hAnsi="Times New Roman" w:cs="Times New Roman"/>
          <w:sz w:val="28"/>
          <w:szCs w:val="28"/>
          <w:lang w:val="en-US"/>
        </w:rPr>
        <w:t>P</w:t>
      </w:r>
      <w:r>
        <w:rPr>
          <w:rFonts w:ascii="Times New Roman" w:hAnsi="Times New Roman" w:cs="Times New Roman"/>
          <w:sz w:val="24"/>
          <w:szCs w:val="24"/>
        </w:rPr>
        <w:t>уп</w:t>
      </w:r>
      <w:r>
        <w:rPr>
          <w:rFonts w:ascii="Times New Roman" w:hAnsi="Times New Roman" w:cs="Times New Roman"/>
          <w:bCs/>
          <w:sz w:val="20"/>
          <w:szCs w:val="20"/>
        </w:rPr>
        <w:t xml:space="preserve"> – </w:t>
      </w:r>
      <w:r>
        <w:rPr>
          <w:rFonts w:ascii="Times New Roman" w:hAnsi="Times New Roman" w:cs="Times New Roman"/>
          <w:bCs/>
          <w:sz w:val="28"/>
          <w:szCs w:val="28"/>
        </w:rPr>
        <w:t xml:space="preserve">  цена за услугу по устройству помещений.</w:t>
      </w:r>
    </w:p>
    <w:p w14:paraId="6A475D95">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Расчет затрат </w:t>
      </w:r>
      <w:r>
        <w:rPr>
          <w:rFonts w:ascii="Times New Roman" w:hAnsi="Times New Roman" w:cs="Times New Roman"/>
          <w:bCs/>
          <w:sz w:val="28"/>
          <w:szCs w:val="28"/>
        </w:rPr>
        <w:t>подведомственного учреждения на оказание услуг по устройству помещений учреждения</w:t>
      </w:r>
      <w:r>
        <w:rPr>
          <w:rFonts w:ascii="Times New Roman" w:hAnsi="Times New Roman" w:cs="Times New Roman"/>
          <w:sz w:val="28"/>
          <w:szCs w:val="28"/>
        </w:rPr>
        <w:t xml:space="preserve"> производится в соответствии с нормативами согласно таблице № 69</w:t>
      </w:r>
    </w:p>
    <w:p w14:paraId="4C4AE933">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 </w:t>
      </w:r>
    </w:p>
    <w:p w14:paraId="6C687DB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 69.</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70"/>
        <w:gridCol w:w="4871"/>
      </w:tblGrid>
      <w:tr w14:paraId="5DE87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0" w:type="dxa"/>
          </w:tcPr>
          <w:p w14:paraId="494C4483">
            <w:pPr>
              <w:tabs>
                <w:tab w:val="left" w:pos="6795"/>
              </w:tabs>
              <w:spacing w:after="0" w:line="240" w:lineRule="auto"/>
              <w:rPr>
                <w:rFonts w:ascii="Times New Roman" w:hAnsi="Times New Roman" w:cs="Times New Roman"/>
                <w:sz w:val="28"/>
                <w:szCs w:val="28"/>
              </w:rPr>
            </w:pPr>
            <w:r>
              <w:rPr>
                <w:rFonts w:ascii="Times New Roman" w:hAnsi="Times New Roman" w:cs="Times New Roman"/>
                <w:bCs/>
                <w:sz w:val="28"/>
                <w:szCs w:val="28"/>
              </w:rPr>
              <w:t>количество услуг по устройству помещений</w:t>
            </w:r>
          </w:p>
        </w:tc>
        <w:tc>
          <w:tcPr>
            <w:tcW w:w="4871" w:type="dxa"/>
          </w:tcPr>
          <w:p w14:paraId="0DED2671">
            <w:pPr>
              <w:tabs>
                <w:tab w:val="left" w:pos="6795"/>
              </w:tabs>
              <w:spacing w:after="0" w:line="240" w:lineRule="auto"/>
              <w:rPr>
                <w:rFonts w:ascii="Times New Roman" w:hAnsi="Times New Roman" w:cs="Times New Roman"/>
                <w:sz w:val="28"/>
                <w:szCs w:val="28"/>
              </w:rPr>
            </w:pPr>
            <w:r>
              <w:rPr>
                <w:rFonts w:ascii="Times New Roman" w:hAnsi="Times New Roman" w:cs="Times New Roman"/>
                <w:bCs/>
                <w:sz w:val="28"/>
                <w:szCs w:val="28"/>
              </w:rPr>
              <w:t>цена за услугу по устройству помещений</w:t>
            </w:r>
          </w:p>
        </w:tc>
      </w:tr>
      <w:tr w14:paraId="46685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0" w:type="dxa"/>
          </w:tcPr>
          <w:p w14:paraId="39235D5D">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4871" w:type="dxa"/>
          </w:tcPr>
          <w:p w14:paraId="1CC1806B">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Не более 1 000 000,00</w:t>
            </w:r>
          </w:p>
        </w:tc>
      </w:tr>
    </w:tbl>
    <w:p w14:paraId="68062BF5">
      <w:pPr>
        <w:tabs>
          <w:tab w:val="left" w:pos="6795"/>
        </w:tabs>
        <w:rPr>
          <w:rFonts w:ascii="Times New Roman" w:hAnsi="Times New Roman" w:cs="Times New Roman"/>
          <w:sz w:val="28"/>
          <w:szCs w:val="28"/>
        </w:rPr>
      </w:pPr>
    </w:p>
    <w:p w14:paraId="7096255E">
      <w:pPr>
        <w:tabs>
          <w:tab w:val="left" w:pos="6795"/>
        </w:tabs>
        <w:rPr>
          <w:rFonts w:ascii="Times New Roman" w:hAnsi="Times New Roman" w:cs="Times New Roman"/>
          <w:sz w:val="28"/>
          <w:szCs w:val="28"/>
        </w:rPr>
      </w:pPr>
      <w:r>
        <w:rPr>
          <w:rFonts w:hint="default" w:ascii="Times New Roman" w:hAnsi="Times New Roman" w:cs="Times New Roman"/>
          <w:sz w:val="28"/>
          <w:szCs w:val="28"/>
          <w:lang w:val="ru-RU"/>
        </w:rPr>
        <w:t>54</w:t>
      </w:r>
      <w:r>
        <w:rPr>
          <w:rFonts w:ascii="Times New Roman" w:hAnsi="Times New Roman" w:cs="Times New Roman"/>
          <w:sz w:val="28"/>
          <w:szCs w:val="28"/>
        </w:rPr>
        <w:t>. Затраты подведомственного учреждения на оказание услуг по устройству выставочного стенда  (Зу) определяются по формуле:</w:t>
      </w:r>
    </w:p>
    <w:p w14:paraId="33B3F5BC">
      <w:pPr>
        <w:tabs>
          <w:tab w:val="left" w:pos="6795"/>
        </w:tabs>
        <w:rPr>
          <w:rFonts w:ascii="Times New Roman" w:hAnsi="Times New Roman" w:cs="Times New Roman"/>
          <w:sz w:val="28"/>
          <w:szCs w:val="28"/>
        </w:rPr>
      </w:pPr>
      <w:r>
        <w:rPr>
          <w:rFonts w:ascii="Times New Roman" w:hAnsi="Times New Roman" w:cs="Times New Roman"/>
          <w:sz w:val="28"/>
          <w:szCs w:val="28"/>
        </w:rPr>
        <w:t>Зу=</w:t>
      </w:r>
      <w:r>
        <w:rPr>
          <w:rFonts w:ascii="Times New Roman" w:hAnsi="Times New Roman" w:cs="Times New Roman"/>
          <w:sz w:val="28"/>
          <w:szCs w:val="28"/>
          <w:lang w:val="en-US"/>
        </w:rPr>
        <w:t>Q</w:t>
      </w:r>
      <w:r>
        <w:rPr>
          <w:rFonts w:ascii="Times New Roman" w:hAnsi="Times New Roman" w:cs="Times New Roman"/>
          <w:sz w:val="28"/>
          <w:szCs w:val="28"/>
        </w:rPr>
        <w:t xml:space="preserve">у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у, где</w:t>
      </w:r>
    </w:p>
    <w:p w14:paraId="1F8EC3EB">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у – количество услуг по устройству выставочного стенда;</w:t>
      </w:r>
    </w:p>
    <w:p w14:paraId="6753404A">
      <w:pPr>
        <w:tabs>
          <w:tab w:val="left" w:pos="6795"/>
        </w:tabs>
        <w:rPr>
          <w:rFonts w:ascii="Times New Roman" w:hAnsi="Times New Roman" w:cs="Times New Roman"/>
          <w:sz w:val="28"/>
          <w:szCs w:val="28"/>
        </w:rPr>
      </w:pPr>
      <w:r>
        <w:rPr>
          <w:rFonts w:ascii="Times New Roman" w:hAnsi="Times New Roman" w:cs="Times New Roman"/>
          <w:sz w:val="28"/>
          <w:szCs w:val="28"/>
        </w:rPr>
        <w:t xml:space="preserve">Ру – цена за оказание услуг по устройству выставочного стенда.  </w:t>
      </w:r>
    </w:p>
    <w:p w14:paraId="792D8FC0">
      <w:pPr>
        <w:tabs>
          <w:tab w:val="left" w:pos="6795"/>
        </w:tabs>
        <w:rPr>
          <w:rFonts w:ascii="Times New Roman" w:hAnsi="Times New Roman" w:cs="Times New Roman"/>
          <w:sz w:val="28"/>
          <w:szCs w:val="28"/>
        </w:rPr>
      </w:pPr>
      <w:r>
        <w:rPr>
          <w:rFonts w:ascii="Times New Roman" w:hAnsi="Times New Roman" w:cs="Times New Roman"/>
          <w:sz w:val="28"/>
          <w:szCs w:val="28"/>
        </w:rPr>
        <w:t>Расчет затрат на оказание услуг по устройству выставочного стенда производится в соответствии с нормативами согласно таблице №</w:t>
      </w:r>
      <w:r>
        <w:rPr>
          <w:rFonts w:hint="default" w:ascii="Times New Roman" w:hAnsi="Times New Roman" w:cs="Times New Roman"/>
          <w:sz w:val="28"/>
          <w:szCs w:val="28"/>
          <w:lang w:val="ru-RU"/>
        </w:rPr>
        <w:t>70</w:t>
      </w:r>
      <w:r>
        <w:rPr>
          <w:rFonts w:ascii="Times New Roman" w:hAnsi="Times New Roman" w:cs="Times New Roman"/>
          <w:sz w:val="28"/>
          <w:szCs w:val="28"/>
        </w:rPr>
        <w:t>.</w:t>
      </w:r>
    </w:p>
    <w:p w14:paraId="3BDBE49D">
      <w:pPr>
        <w:tabs>
          <w:tab w:val="left" w:pos="6795"/>
        </w:tabs>
        <w:rPr>
          <w:rFonts w:ascii="Times New Roman" w:hAnsi="Times New Roman" w:cs="Times New Roman"/>
          <w:sz w:val="28"/>
          <w:szCs w:val="28"/>
        </w:rPr>
      </w:pPr>
      <w:r>
        <w:rPr>
          <w:rFonts w:ascii="Times New Roman" w:hAnsi="Times New Roman" w:cs="Times New Roman"/>
          <w:sz w:val="28"/>
          <w:szCs w:val="28"/>
        </w:rPr>
        <w:t xml:space="preserve">                                                                                                                Таблица №</w:t>
      </w:r>
      <w:r>
        <w:rPr>
          <w:rFonts w:hint="default" w:ascii="Times New Roman" w:hAnsi="Times New Roman" w:cs="Times New Roman"/>
          <w:sz w:val="28"/>
          <w:szCs w:val="28"/>
          <w:lang w:val="ru-RU"/>
        </w:rPr>
        <w:t>70</w:t>
      </w:r>
      <w:r>
        <w:rPr>
          <w:rFonts w:ascii="Times New Roman" w:hAnsi="Times New Roman" w:cs="Times New Roman"/>
          <w:sz w:val="28"/>
          <w:szCs w:val="28"/>
        </w:rPr>
        <w:t>.</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70"/>
        <w:gridCol w:w="4871"/>
      </w:tblGrid>
      <w:tr w14:paraId="55A56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0" w:type="dxa"/>
          </w:tcPr>
          <w:p w14:paraId="4908A67D">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количество услуг по устройству выставочного стенда </w:t>
            </w:r>
          </w:p>
          <w:p w14:paraId="366A9564">
            <w:pPr>
              <w:tabs>
                <w:tab w:val="left" w:pos="6795"/>
              </w:tabs>
              <w:spacing w:after="0" w:line="240" w:lineRule="auto"/>
              <w:rPr>
                <w:rFonts w:ascii="Times New Roman" w:hAnsi="Times New Roman" w:cs="Times New Roman"/>
                <w:sz w:val="28"/>
                <w:szCs w:val="28"/>
              </w:rPr>
            </w:pPr>
          </w:p>
        </w:tc>
        <w:tc>
          <w:tcPr>
            <w:tcW w:w="4871" w:type="dxa"/>
          </w:tcPr>
          <w:p w14:paraId="24414DEA">
            <w:pPr>
              <w:tabs>
                <w:tab w:val="left" w:pos="6795"/>
              </w:tabs>
              <w:spacing w:after="0" w:line="240" w:lineRule="auto"/>
              <w:rPr>
                <w:rFonts w:hint="default" w:ascii="Times New Roman" w:hAnsi="Times New Roman" w:cs="Times New Roman"/>
                <w:sz w:val="28"/>
                <w:szCs w:val="28"/>
                <w:lang w:val="ru-RU"/>
              </w:rPr>
            </w:pPr>
            <w:r>
              <w:rPr>
                <w:rFonts w:ascii="Times New Roman" w:hAnsi="Times New Roman" w:cs="Times New Roman"/>
                <w:sz w:val="28"/>
                <w:szCs w:val="28"/>
              </w:rPr>
              <w:t xml:space="preserve">цена за оказание услуг по устройству выставочного стенда </w:t>
            </w:r>
            <w:r>
              <w:rPr>
                <w:rFonts w:hint="default" w:ascii="Times New Roman" w:hAnsi="Times New Roman" w:cs="Times New Roman"/>
                <w:sz w:val="28"/>
                <w:szCs w:val="28"/>
                <w:lang w:val="ru-RU"/>
              </w:rPr>
              <w:t>(рублей в год)</w:t>
            </w:r>
          </w:p>
          <w:p w14:paraId="2B29E165">
            <w:pPr>
              <w:tabs>
                <w:tab w:val="left" w:pos="6795"/>
              </w:tabs>
              <w:spacing w:after="0" w:line="240" w:lineRule="auto"/>
              <w:rPr>
                <w:rFonts w:ascii="Times New Roman" w:hAnsi="Times New Roman" w:cs="Times New Roman"/>
                <w:sz w:val="28"/>
                <w:szCs w:val="28"/>
              </w:rPr>
            </w:pPr>
          </w:p>
        </w:tc>
      </w:tr>
      <w:tr w14:paraId="70833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0" w:type="dxa"/>
          </w:tcPr>
          <w:p w14:paraId="66BF4C73">
            <w:pPr>
              <w:tabs>
                <w:tab w:val="left" w:pos="6795"/>
              </w:tabs>
              <w:spacing w:after="0" w:line="240" w:lineRule="auto"/>
              <w:ind w:firstLine="840" w:firstLineChars="300"/>
              <w:rPr>
                <w:rFonts w:hint="default" w:ascii="Times New Roman" w:hAnsi="Times New Roman" w:cs="Times New Roman"/>
                <w:sz w:val="28"/>
                <w:szCs w:val="28"/>
                <w:lang w:val="ru-RU"/>
              </w:rPr>
            </w:pPr>
            <w:r>
              <w:rPr>
                <w:rFonts w:ascii="Times New Roman" w:hAnsi="Times New Roman" w:cs="Times New Roman"/>
                <w:sz w:val="28"/>
                <w:szCs w:val="28"/>
                <w:lang w:val="ru-RU"/>
              </w:rPr>
              <w:t>не</w:t>
            </w:r>
            <w:r>
              <w:rPr>
                <w:rFonts w:hint="default" w:ascii="Times New Roman" w:hAnsi="Times New Roman" w:cs="Times New Roman"/>
                <w:sz w:val="28"/>
                <w:szCs w:val="28"/>
                <w:lang w:val="ru-RU"/>
              </w:rPr>
              <w:t xml:space="preserve"> менее 1</w:t>
            </w:r>
          </w:p>
        </w:tc>
        <w:tc>
          <w:tcPr>
            <w:tcW w:w="4871" w:type="dxa"/>
          </w:tcPr>
          <w:p w14:paraId="59A0D862">
            <w:pPr>
              <w:tabs>
                <w:tab w:val="left" w:pos="6795"/>
              </w:tabs>
              <w:spacing w:after="0" w:line="240" w:lineRule="auto"/>
              <w:rPr>
                <w:rFonts w:hint="default" w:ascii="Times New Roman" w:hAnsi="Times New Roman" w:cs="Times New Roman"/>
                <w:sz w:val="28"/>
                <w:szCs w:val="28"/>
                <w:lang w:val="ru-RU"/>
              </w:rPr>
            </w:pPr>
            <w:r>
              <w:rPr>
                <w:rFonts w:ascii="Times New Roman" w:hAnsi="Times New Roman" w:cs="Times New Roman"/>
                <w:sz w:val="28"/>
                <w:szCs w:val="28"/>
                <w:lang w:val="ru-RU"/>
              </w:rPr>
              <w:t>не</w:t>
            </w:r>
            <w:r>
              <w:rPr>
                <w:rFonts w:hint="default" w:ascii="Times New Roman" w:hAnsi="Times New Roman" w:cs="Times New Roman"/>
                <w:sz w:val="28"/>
                <w:szCs w:val="28"/>
                <w:lang w:val="ru-RU"/>
              </w:rPr>
              <w:t xml:space="preserve"> более 1 000 000,00</w:t>
            </w:r>
          </w:p>
        </w:tc>
      </w:tr>
    </w:tbl>
    <w:p w14:paraId="5AEA6A6E">
      <w:pPr>
        <w:numPr>
          <w:ilvl w:val="0"/>
          <w:numId w:val="0"/>
        </w:numPr>
        <w:tabs>
          <w:tab w:val="left" w:pos="6795"/>
        </w:tabs>
        <w:rPr>
          <w:rFonts w:hint="default" w:ascii="Times New Roman" w:hAnsi="Times New Roman" w:cs="Times New Roman"/>
          <w:sz w:val="28"/>
          <w:szCs w:val="28"/>
          <w:lang w:val="ru-RU"/>
        </w:rPr>
      </w:pPr>
    </w:p>
    <w:sectPr>
      <w:pgSz w:w="11906" w:h="16838"/>
      <w:pgMar w:top="1418" w:right="567" w:bottom="1134" w:left="1588" w:header="425" w:footer="709"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Georgia">
    <w:panose1 w:val="02040502050405020303"/>
    <w:charset w:val="CC"/>
    <w:family w:val="roman"/>
    <w:pitch w:val="default"/>
    <w:sig w:usb0="00000287" w:usb1="00000000" w:usb2="00000000" w:usb3="00000000" w:csb0="2000009F" w:csb1="00000000"/>
  </w:font>
  <w:font w:name="Cambria Math">
    <w:panose1 w:val="02040503050406030204"/>
    <w:charset w:val="CC"/>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 w:name="XO Thames">
    <w:altName w:val="Cambria"/>
    <w:panose1 w:val="00000000000000000000"/>
    <w:charset w:val="00"/>
    <w:family w:val="roman"/>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A3F26B">
    <w:pPr>
      <w:pStyle w:val="5"/>
      <w:jc w:val="center"/>
    </w:pPr>
  </w:p>
  <w:p w14:paraId="20979D48">
    <w:pPr>
      <w:pStyle w:val="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27571735"/>
      <w:docPartObj>
        <w:docPartGallery w:val="autotext"/>
      </w:docPartObj>
    </w:sdtPr>
    <w:sdtContent>
      <w:p w14:paraId="1CD4D0FC">
        <w:pPr>
          <w:pStyle w:val="5"/>
          <w:jc w:val="center"/>
        </w:pPr>
        <w:r>
          <w:fldChar w:fldCharType="begin"/>
        </w:r>
        <w:r>
          <w:instrText xml:space="preserve">PAGE   \* MERGEFORMAT</w:instrText>
        </w:r>
        <w:r>
          <w:fldChar w:fldCharType="separate"/>
        </w:r>
        <w:r>
          <w:t>21</w:t>
        </w:r>
        <w:r>
          <w:fldChar w:fldCharType="end"/>
        </w:r>
      </w:p>
    </w:sdtContent>
  </w:sdt>
  <w:p w14:paraId="2B621ACE">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36324912"/>
      <w:docPartObj>
        <w:docPartGallery w:val="autotext"/>
      </w:docPartObj>
    </w:sdtPr>
    <w:sdtContent>
      <w:p w14:paraId="5912B1B8">
        <w:pPr>
          <w:pStyle w:val="5"/>
          <w:jc w:val="center"/>
        </w:pPr>
        <w:r>
          <w:fldChar w:fldCharType="begin"/>
        </w:r>
        <w:r>
          <w:instrText xml:space="preserve">PAGE   \* MERGEFORMAT</w:instrText>
        </w:r>
        <w:r>
          <w:fldChar w:fldCharType="separate"/>
        </w:r>
        <w:r>
          <w:t>18</w:t>
        </w:r>
        <w:r>
          <w:fldChar w:fldCharType="end"/>
        </w:r>
      </w:p>
    </w:sdtContent>
  </w:sdt>
  <w:p w14:paraId="3D38C453">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numPicBullet w:numPicBulletId="0">
    <w:pict>
      <v:shape id="0" type="#_x0000_t75" style="width:736px;height:608px" o:bullet="t">
        <v:imagedata r:id="rId1" o:title=""/>
      </v:shape>
    </w:pict>
  </w:numPicBullet>
  <w:numPicBullet w:numPicBulletId="1">
    <w:pict>
      <v:shape id="1" type="#_x0000_t75" style="width:512px;height:608px" o:bullet="t">
        <v:imagedata r:id="rId2" o:title=""/>
      </v:shape>
    </w:pict>
  </w:numPicBullet>
  <w:abstractNum w:abstractNumId="0">
    <w:nsid w:val="0ED07CBB"/>
    <w:multiLevelType w:val="multilevel"/>
    <w:tmpl w:val="0ED07CBB"/>
    <w:lvl w:ilvl="0" w:tentative="0">
      <w:start w:val="1"/>
      <w:numFmt w:val="bullet"/>
      <w:lvlText w:val=""/>
      <w:lvlPicBulletId w:val="1"/>
      <w:lvlJc w:val="left"/>
      <w:pPr>
        <w:tabs>
          <w:tab w:val="left" w:pos="720"/>
        </w:tabs>
        <w:ind w:left="720" w:hanging="360"/>
      </w:pPr>
      <w:rPr>
        <w:rFonts w:hint="default" w:ascii="Symbol" w:hAnsi="Symbol"/>
      </w:rPr>
    </w:lvl>
    <w:lvl w:ilvl="1" w:tentative="0">
      <w:start w:val="1"/>
      <w:numFmt w:val="bullet"/>
      <w:lvlText w:val=""/>
      <w:lvlJc w:val="left"/>
      <w:pPr>
        <w:tabs>
          <w:tab w:val="left" w:pos="1440"/>
        </w:tabs>
        <w:ind w:left="1440" w:hanging="360"/>
      </w:pPr>
      <w:rPr>
        <w:rFonts w:hint="default" w:ascii="Symbol" w:hAnsi="Symbol"/>
      </w:rPr>
    </w:lvl>
    <w:lvl w:ilvl="2" w:tentative="0">
      <w:start w:val="1"/>
      <w:numFmt w:val="bullet"/>
      <w:lvlText w:val=""/>
      <w:lvlJc w:val="left"/>
      <w:pPr>
        <w:tabs>
          <w:tab w:val="left" w:pos="2160"/>
        </w:tabs>
        <w:ind w:left="2160" w:hanging="360"/>
      </w:pPr>
      <w:rPr>
        <w:rFonts w:hint="default" w:ascii="Symbol" w:hAnsi="Symbol"/>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
      <w:lvlJc w:val="left"/>
      <w:pPr>
        <w:tabs>
          <w:tab w:val="left" w:pos="3600"/>
        </w:tabs>
        <w:ind w:left="3600" w:hanging="360"/>
      </w:pPr>
      <w:rPr>
        <w:rFonts w:hint="default" w:ascii="Symbol" w:hAnsi="Symbol"/>
      </w:rPr>
    </w:lvl>
    <w:lvl w:ilvl="5" w:tentative="0">
      <w:start w:val="1"/>
      <w:numFmt w:val="bullet"/>
      <w:lvlText w:val=""/>
      <w:lvlJc w:val="left"/>
      <w:pPr>
        <w:tabs>
          <w:tab w:val="left" w:pos="4320"/>
        </w:tabs>
        <w:ind w:left="4320" w:hanging="360"/>
      </w:pPr>
      <w:rPr>
        <w:rFonts w:hint="default" w:ascii="Symbol" w:hAnsi="Symbol"/>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
      <w:lvlJc w:val="left"/>
      <w:pPr>
        <w:tabs>
          <w:tab w:val="left" w:pos="5760"/>
        </w:tabs>
        <w:ind w:left="5760" w:hanging="360"/>
      </w:pPr>
      <w:rPr>
        <w:rFonts w:hint="default" w:ascii="Symbol" w:hAnsi="Symbol"/>
      </w:rPr>
    </w:lvl>
    <w:lvl w:ilvl="8" w:tentative="0">
      <w:start w:val="1"/>
      <w:numFmt w:val="bullet"/>
      <w:lvlText w:val=""/>
      <w:lvlJc w:val="left"/>
      <w:pPr>
        <w:tabs>
          <w:tab w:val="left" w:pos="6480"/>
        </w:tabs>
        <w:ind w:left="6480" w:hanging="360"/>
      </w:pPr>
      <w:rPr>
        <w:rFonts w:hint="default" w:ascii="Symbol" w:hAnsi="Symbol"/>
      </w:rPr>
    </w:lvl>
  </w:abstractNum>
  <w:abstractNum w:abstractNumId="1">
    <w:nsid w:val="601E3A8A"/>
    <w:multiLevelType w:val="multilevel"/>
    <w:tmpl w:val="601E3A8A"/>
    <w:lvl w:ilvl="0" w:tentative="0">
      <w:start w:val="1"/>
      <w:numFmt w:val="bullet"/>
      <w:lvlText w:val=""/>
      <w:lvlPicBulletId w:val="0"/>
      <w:lvlJc w:val="left"/>
      <w:pPr>
        <w:tabs>
          <w:tab w:val="left" w:pos="720"/>
        </w:tabs>
        <w:ind w:left="720" w:hanging="360"/>
      </w:pPr>
      <w:rPr>
        <w:rFonts w:hint="default" w:ascii="Symbol" w:hAnsi="Symbol"/>
      </w:rPr>
    </w:lvl>
    <w:lvl w:ilvl="1" w:tentative="0">
      <w:start w:val="1"/>
      <w:numFmt w:val="bullet"/>
      <w:lvlText w:val=""/>
      <w:lvlJc w:val="left"/>
      <w:pPr>
        <w:tabs>
          <w:tab w:val="left" w:pos="1440"/>
        </w:tabs>
        <w:ind w:left="1440" w:hanging="360"/>
      </w:pPr>
      <w:rPr>
        <w:rFonts w:hint="default" w:ascii="Symbol" w:hAnsi="Symbol"/>
      </w:rPr>
    </w:lvl>
    <w:lvl w:ilvl="2" w:tentative="0">
      <w:start w:val="1"/>
      <w:numFmt w:val="bullet"/>
      <w:lvlText w:val=""/>
      <w:lvlJc w:val="left"/>
      <w:pPr>
        <w:tabs>
          <w:tab w:val="left" w:pos="2160"/>
        </w:tabs>
        <w:ind w:left="2160" w:hanging="360"/>
      </w:pPr>
      <w:rPr>
        <w:rFonts w:hint="default" w:ascii="Symbol" w:hAnsi="Symbol"/>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
      <w:lvlJc w:val="left"/>
      <w:pPr>
        <w:tabs>
          <w:tab w:val="left" w:pos="3600"/>
        </w:tabs>
        <w:ind w:left="3600" w:hanging="360"/>
      </w:pPr>
      <w:rPr>
        <w:rFonts w:hint="default" w:ascii="Symbol" w:hAnsi="Symbol"/>
      </w:rPr>
    </w:lvl>
    <w:lvl w:ilvl="5" w:tentative="0">
      <w:start w:val="1"/>
      <w:numFmt w:val="bullet"/>
      <w:lvlText w:val=""/>
      <w:lvlJc w:val="left"/>
      <w:pPr>
        <w:tabs>
          <w:tab w:val="left" w:pos="4320"/>
        </w:tabs>
        <w:ind w:left="4320" w:hanging="360"/>
      </w:pPr>
      <w:rPr>
        <w:rFonts w:hint="default" w:ascii="Symbol" w:hAnsi="Symbol"/>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
      <w:lvlJc w:val="left"/>
      <w:pPr>
        <w:tabs>
          <w:tab w:val="left" w:pos="5760"/>
        </w:tabs>
        <w:ind w:left="5760" w:hanging="360"/>
      </w:pPr>
      <w:rPr>
        <w:rFonts w:hint="default" w:ascii="Symbol" w:hAnsi="Symbol"/>
      </w:rPr>
    </w:lvl>
    <w:lvl w:ilvl="8" w:tentative="0">
      <w:start w:val="1"/>
      <w:numFmt w:val="bullet"/>
      <w:lvlText w:val=""/>
      <w:lvlJc w:val="left"/>
      <w:pPr>
        <w:tabs>
          <w:tab w:val="left" w:pos="6480"/>
        </w:tabs>
        <w:ind w:left="6480" w:hanging="360"/>
      </w:pPr>
      <w:rPr>
        <w:rFonts w:hint="default" w:ascii="Symbol" w:hAnsi="Symbo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473"/>
    <w:rsid w:val="00000D6A"/>
    <w:rsid w:val="000010EE"/>
    <w:rsid w:val="00001289"/>
    <w:rsid w:val="00001C88"/>
    <w:rsid w:val="00001F9C"/>
    <w:rsid w:val="00002B3F"/>
    <w:rsid w:val="000044B8"/>
    <w:rsid w:val="0000636A"/>
    <w:rsid w:val="00011B4A"/>
    <w:rsid w:val="00011F50"/>
    <w:rsid w:val="00011FB6"/>
    <w:rsid w:val="00012741"/>
    <w:rsid w:val="000127F5"/>
    <w:rsid w:val="000150CC"/>
    <w:rsid w:val="00015179"/>
    <w:rsid w:val="000172D0"/>
    <w:rsid w:val="00020ADF"/>
    <w:rsid w:val="00021CD1"/>
    <w:rsid w:val="00022216"/>
    <w:rsid w:val="0002411D"/>
    <w:rsid w:val="00024F02"/>
    <w:rsid w:val="00025619"/>
    <w:rsid w:val="000307F7"/>
    <w:rsid w:val="000309F1"/>
    <w:rsid w:val="000315B6"/>
    <w:rsid w:val="00033749"/>
    <w:rsid w:val="00033B22"/>
    <w:rsid w:val="00034E1A"/>
    <w:rsid w:val="000378AA"/>
    <w:rsid w:val="00037DB0"/>
    <w:rsid w:val="00042357"/>
    <w:rsid w:val="00042607"/>
    <w:rsid w:val="00042621"/>
    <w:rsid w:val="00042A98"/>
    <w:rsid w:val="000431A0"/>
    <w:rsid w:val="00044E4A"/>
    <w:rsid w:val="00045767"/>
    <w:rsid w:val="00046405"/>
    <w:rsid w:val="00051899"/>
    <w:rsid w:val="000542A5"/>
    <w:rsid w:val="00055142"/>
    <w:rsid w:val="00061BA3"/>
    <w:rsid w:val="00061D90"/>
    <w:rsid w:val="00061F9E"/>
    <w:rsid w:val="00062067"/>
    <w:rsid w:val="00062BA2"/>
    <w:rsid w:val="000645A7"/>
    <w:rsid w:val="00064C63"/>
    <w:rsid w:val="00064D73"/>
    <w:rsid w:val="00067C0D"/>
    <w:rsid w:val="00071247"/>
    <w:rsid w:val="00072BB9"/>
    <w:rsid w:val="00074FB7"/>
    <w:rsid w:val="000758F5"/>
    <w:rsid w:val="00076375"/>
    <w:rsid w:val="00077B5C"/>
    <w:rsid w:val="00077DD3"/>
    <w:rsid w:val="0008061E"/>
    <w:rsid w:val="000807DE"/>
    <w:rsid w:val="0008116F"/>
    <w:rsid w:val="00083FC3"/>
    <w:rsid w:val="000850F5"/>
    <w:rsid w:val="00087FC6"/>
    <w:rsid w:val="00091981"/>
    <w:rsid w:val="00091CB9"/>
    <w:rsid w:val="00091E46"/>
    <w:rsid w:val="000924E2"/>
    <w:rsid w:val="000928E2"/>
    <w:rsid w:val="0009312E"/>
    <w:rsid w:val="00093EA7"/>
    <w:rsid w:val="00094D2F"/>
    <w:rsid w:val="00094DFA"/>
    <w:rsid w:val="000A02EC"/>
    <w:rsid w:val="000A089E"/>
    <w:rsid w:val="000A0996"/>
    <w:rsid w:val="000A0CB5"/>
    <w:rsid w:val="000A170B"/>
    <w:rsid w:val="000A273C"/>
    <w:rsid w:val="000A3424"/>
    <w:rsid w:val="000A3DCC"/>
    <w:rsid w:val="000A5168"/>
    <w:rsid w:val="000A52B6"/>
    <w:rsid w:val="000A6968"/>
    <w:rsid w:val="000A78C3"/>
    <w:rsid w:val="000B0258"/>
    <w:rsid w:val="000B0C38"/>
    <w:rsid w:val="000B23CD"/>
    <w:rsid w:val="000B4960"/>
    <w:rsid w:val="000B57E8"/>
    <w:rsid w:val="000B5B45"/>
    <w:rsid w:val="000C03DA"/>
    <w:rsid w:val="000C121F"/>
    <w:rsid w:val="000C32C1"/>
    <w:rsid w:val="000C405A"/>
    <w:rsid w:val="000D012A"/>
    <w:rsid w:val="000D0A29"/>
    <w:rsid w:val="000D155D"/>
    <w:rsid w:val="000D3613"/>
    <w:rsid w:val="000D67E2"/>
    <w:rsid w:val="000E1866"/>
    <w:rsid w:val="000E1A6B"/>
    <w:rsid w:val="000E1DF9"/>
    <w:rsid w:val="000E314F"/>
    <w:rsid w:val="000E599B"/>
    <w:rsid w:val="000E5B49"/>
    <w:rsid w:val="000E663E"/>
    <w:rsid w:val="000E6956"/>
    <w:rsid w:val="000F0163"/>
    <w:rsid w:val="000F15F4"/>
    <w:rsid w:val="000F2258"/>
    <w:rsid w:val="000F230C"/>
    <w:rsid w:val="000F23E5"/>
    <w:rsid w:val="000F346C"/>
    <w:rsid w:val="000F448B"/>
    <w:rsid w:val="000F4B58"/>
    <w:rsid w:val="000F51AC"/>
    <w:rsid w:val="000F6044"/>
    <w:rsid w:val="000F63DB"/>
    <w:rsid w:val="001009DE"/>
    <w:rsid w:val="00100A96"/>
    <w:rsid w:val="001011E5"/>
    <w:rsid w:val="00101431"/>
    <w:rsid w:val="001015E5"/>
    <w:rsid w:val="00103D04"/>
    <w:rsid w:val="00104188"/>
    <w:rsid w:val="00104E6B"/>
    <w:rsid w:val="0010518D"/>
    <w:rsid w:val="0010546F"/>
    <w:rsid w:val="0010776F"/>
    <w:rsid w:val="0011078C"/>
    <w:rsid w:val="00112AD4"/>
    <w:rsid w:val="00112C5B"/>
    <w:rsid w:val="00113846"/>
    <w:rsid w:val="00113864"/>
    <w:rsid w:val="00115CC7"/>
    <w:rsid w:val="001161FE"/>
    <w:rsid w:val="001170CD"/>
    <w:rsid w:val="00117374"/>
    <w:rsid w:val="001179EC"/>
    <w:rsid w:val="00120436"/>
    <w:rsid w:val="00120B34"/>
    <w:rsid w:val="00121953"/>
    <w:rsid w:val="0012244F"/>
    <w:rsid w:val="00122DF7"/>
    <w:rsid w:val="001243CF"/>
    <w:rsid w:val="0012463E"/>
    <w:rsid w:val="00124B11"/>
    <w:rsid w:val="00125938"/>
    <w:rsid w:val="00125B2D"/>
    <w:rsid w:val="00126845"/>
    <w:rsid w:val="00127380"/>
    <w:rsid w:val="001277DE"/>
    <w:rsid w:val="0013101A"/>
    <w:rsid w:val="0013163E"/>
    <w:rsid w:val="001346AB"/>
    <w:rsid w:val="00134B5D"/>
    <w:rsid w:val="00135370"/>
    <w:rsid w:val="0013620E"/>
    <w:rsid w:val="00137F4E"/>
    <w:rsid w:val="00140B51"/>
    <w:rsid w:val="00140D9A"/>
    <w:rsid w:val="001438DB"/>
    <w:rsid w:val="00146263"/>
    <w:rsid w:val="001464AC"/>
    <w:rsid w:val="00147E64"/>
    <w:rsid w:val="00147FE4"/>
    <w:rsid w:val="00152744"/>
    <w:rsid w:val="00152AF3"/>
    <w:rsid w:val="00152E6C"/>
    <w:rsid w:val="00153A70"/>
    <w:rsid w:val="00156C96"/>
    <w:rsid w:val="0015738A"/>
    <w:rsid w:val="001628CA"/>
    <w:rsid w:val="001642AD"/>
    <w:rsid w:val="001652C9"/>
    <w:rsid w:val="00165418"/>
    <w:rsid w:val="00165943"/>
    <w:rsid w:val="00167DF9"/>
    <w:rsid w:val="0017372D"/>
    <w:rsid w:val="00173AE5"/>
    <w:rsid w:val="00173C99"/>
    <w:rsid w:val="00175930"/>
    <w:rsid w:val="00176CD3"/>
    <w:rsid w:val="001774F4"/>
    <w:rsid w:val="00177754"/>
    <w:rsid w:val="00180522"/>
    <w:rsid w:val="00181074"/>
    <w:rsid w:val="00181815"/>
    <w:rsid w:val="00182D90"/>
    <w:rsid w:val="00182FDB"/>
    <w:rsid w:val="001831B4"/>
    <w:rsid w:val="0018341B"/>
    <w:rsid w:val="00184A37"/>
    <w:rsid w:val="00185B90"/>
    <w:rsid w:val="00185E7C"/>
    <w:rsid w:val="00186B27"/>
    <w:rsid w:val="00187522"/>
    <w:rsid w:val="00187CEA"/>
    <w:rsid w:val="00187EC2"/>
    <w:rsid w:val="001905B1"/>
    <w:rsid w:val="00190976"/>
    <w:rsid w:val="00190D70"/>
    <w:rsid w:val="00190DAD"/>
    <w:rsid w:val="00192061"/>
    <w:rsid w:val="001921C2"/>
    <w:rsid w:val="00193463"/>
    <w:rsid w:val="00196BE3"/>
    <w:rsid w:val="001A23C2"/>
    <w:rsid w:val="001A33B1"/>
    <w:rsid w:val="001A4246"/>
    <w:rsid w:val="001A778E"/>
    <w:rsid w:val="001B0F1F"/>
    <w:rsid w:val="001B18C2"/>
    <w:rsid w:val="001B34ED"/>
    <w:rsid w:val="001B4430"/>
    <w:rsid w:val="001B53D1"/>
    <w:rsid w:val="001B70CD"/>
    <w:rsid w:val="001B73B3"/>
    <w:rsid w:val="001C0F1F"/>
    <w:rsid w:val="001C2676"/>
    <w:rsid w:val="001C27D8"/>
    <w:rsid w:val="001C2C7D"/>
    <w:rsid w:val="001C2F6E"/>
    <w:rsid w:val="001C4782"/>
    <w:rsid w:val="001C66AA"/>
    <w:rsid w:val="001C70E5"/>
    <w:rsid w:val="001C7360"/>
    <w:rsid w:val="001C7CA3"/>
    <w:rsid w:val="001D0AA9"/>
    <w:rsid w:val="001D170F"/>
    <w:rsid w:val="001D224B"/>
    <w:rsid w:val="001D3765"/>
    <w:rsid w:val="001D4830"/>
    <w:rsid w:val="001D4A17"/>
    <w:rsid w:val="001D5C13"/>
    <w:rsid w:val="001D7692"/>
    <w:rsid w:val="001D7973"/>
    <w:rsid w:val="001D7F4B"/>
    <w:rsid w:val="001E28F1"/>
    <w:rsid w:val="001E2D01"/>
    <w:rsid w:val="001E43AA"/>
    <w:rsid w:val="001E7054"/>
    <w:rsid w:val="001E7F62"/>
    <w:rsid w:val="001F0462"/>
    <w:rsid w:val="001F082A"/>
    <w:rsid w:val="001F08DB"/>
    <w:rsid w:val="001F12BE"/>
    <w:rsid w:val="001F2931"/>
    <w:rsid w:val="001F2B03"/>
    <w:rsid w:val="001F331F"/>
    <w:rsid w:val="001F3B29"/>
    <w:rsid w:val="001F4152"/>
    <w:rsid w:val="001F4721"/>
    <w:rsid w:val="001F65F7"/>
    <w:rsid w:val="001F6BD2"/>
    <w:rsid w:val="001F7551"/>
    <w:rsid w:val="001F7634"/>
    <w:rsid w:val="001F7984"/>
    <w:rsid w:val="001F7DA7"/>
    <w:rsid w:val="00200B00"/>
    <w:rsid w:val="00201957"/>
    <w:rsid w:val="00202368"/>
    <w:rsid w:val="002047D6"/>
    <w:rsid w:val="0020503B"/>
    <w:rsid w:val="002052F9"/>
    <w:rsid w:val="00205D02"/>
    <w:rsid w:val="00206ABE"/>
    <w:rsid w:val="00210781"/>
    <w:rsid w:val="00210BE1"/>
    <w:rsid w:val="00213629"/>
    <w:rsid w:val="00214B02"/>
    <w:rsid w:val="00214EC3"/>
    <w:rsid w:val="00215964"/>
    <w:rsid w:val="002167C6"/>
    <w:rsid w:val="00217596"/>
    <w:rsid w:val="00220DAC"/>
    <w:rsid w:val="0022113C"/>
    <w:rsid w:val="0022130A"/>
    <w:rsid w:val="0022336C"/>
    <w:rsid w:val="00224D8F"/>
    <w:rsid w:val="00225BDD"/>
    <w:rsid w:val="00227307"/>
    <w:rsid w:val="002326EB"/>
    <w:rsid w:val="00234A65"/>
    <w:rsid w:val="0023581C"/>
    <w:rsid w:val="002359C3"/>
    <w:rsid w:val="00240BE4"/>
    <w:rsid w:val="00240CDF"/>
    <w:rsid w:val="002415B0"/>
    <w:rsid w:val="002420ED"/>
    <w:rsid w:val="00242106"/>
    <w:rsid w:val="00245D7C"/>
    <w:rsid w:val="00245DAD"/>
    <w:rsid w:val="00247017"/>
    <w:rsid w:val="002476DF"/>
    <w:rsid w:val="00247FA3"/>
    <w:rsid w:val="00250B47"/>
    <w:rsid w:val="002529BE"/>
    <w:rsid w:val="00254CF4"/>
    <w:rsid w:val="00261340"/>
    <w:rsid w:val="00261777"/>
    <w:rsid w:val="00261D42"/>
    <w:rsid w:val="00261D49"/>
    <w:rsid w:val="002634C5"/>
    <w:rsid w:val="00263DA2"/>
    <w:rsid w:val="00265AFD"/>
    <w:rsid w:val="00270244"/>
    <w:rsid w:val="00270F47"/>
    <w:rsid w:val="00271097"/>
    <w:rsid w:val="0027151E"/>
    <w:rsid w:val="00273082"/>
    <w:rsid w:val="0027325B"/>
    <w:rsid w:val="002733D2"/>
    <w:rsid w:val="002739FF"/>
    <w:rsid w:val="002750EC"/>
    <w:rsid w:val="002758D6"/>
    <w:rsid w:val="002768FD"/>
    <w:rsid w:val="002774D6"/>
    <w:rsid w:val="002801A0"/>
    <w:rsid w:val="0028087A"/>
    <w:rsid w:val="00280CEB"/>
    <w:rsid w:val="00281A94"/>
    <w:rsid w:val="00281F6A"/>
    <w:rsid w:val="00283689"/>
    <w:rsid w:val="002841B1"/>
    <w:rsid w:val="00284780"/>
    <w:rsid w:val="002847AB"/>
    <w:rsid w:val="00285A40"/>
    <w:rsid w:val="002864BB"/>
    <w:rsid w:val="00287E4E"/>
    <w:rsid w:val="00287F76"/>
    <w:rsid w:val="00290AF4"/>
    <w:rsid w:val="0029190C"/>
    <w:rsid w:val="00291924"/>
    <w:rsid w:val="0029252D"/>
    <w:rsid w:val="00293ECB"/>
    <w:rsid w:val="00294837"/>
    <w:rsid w:val="002953E5"/>
    <w:rsid w:val="00295A46"/>
    <w:rsid w:val="0029616B"/>
    <w:rsid w:val="00296F05"/>
    <w:rsid w:val="00297D73"/>
    <w:rsid w:val="002A1C08"/>
    <w:rsid w:val="002A4FA9"/>
    <w:rsid w:val="002A6B28"/>
    <w:rsid w:val="002B1AA1"/>
    <w:rsid w:val="002B1C16"/>
    <w:rsid w:val="002B2FD4"/>
    <w:rsid w:val="002B5A40"/>
    <w:rsid w:val="002B7D8A"/>
    <w:rsid w:val="002C1A7D"/>
    <w:rsid w:val="002C22F0"/>
    <w:rsid w:val="002C3683"/>
    <w:rsid w:val="002C4121"/>
    <w:rsid w:val="002C4804"/>
    <w:rsid w:val="002C5AAF"/>
    <w:rsid w:val="002C61F7"/>
    <w:rsid w:val="002C62DD"/>
    <w:rsid w:val="002C6C19"/>
    <w:rsid w:val="002C7E9D"/>
    <w:rsid w:val="002D141D"/>
    <w:rsid w:val="002D3082"/>
    <w:rsid w:val="002D3298"/>
    <w:rsid w:val="002D7033"/>
    <w:rsid w:val="002E012D"/>
    <w:rsid w:val="002E01FE"/>
    <w:rsid w:val="002E0673"/>
    <w:rsid w:val="002E108B"/>
    <w:rsid w:val="002E1104"/>
    <w:rsid w:val="002E1ECA"/>
    <w:rsid w:val="002E2A0F"/>
    <w:rsid w:val="002E6C55"/>
    <w:rsid w:val="002E6C57"/>
    <w:rsid w:val="002F1A72"/>
    <w:rsid w:val="002F25FD"/>
    <w:rsid w:val="002F33B3"/>
    <w:rsid w:val="002F362C"/>
    <w:rsid w:val="002F5B1A"/>
    <w:rsid w:val="002F5C1A"/>
    <w:rsid w:val="002F6112"/>
    <w:rsid w:val="002F76C1"/>
    <w:rsid w:val="00300C5F"/>
    <w:rsid w:val="0030155F"/>
    <w:rsid w:val="0030166E"/>
    <w:rsid w:val="00302CE9"/>
    <w:rsid w:val="00304E5A"/>
    <w:rsid w:val="003050AA"/>
    <w:rsid w:val="00307970"/>
    <w:rsid w:val="00307BB4"/>
    <w:rsid w:val="00307F48"/>
    <w:rsid w:val="00310546"/>
    <w:rsid w:val="003105D0"/>
    <w:rsid w:val="00310835"/>
    <w:rsid w:val="00311BA4"/>
    <w:rsid w:val="00311C67"/>
    <w:rsid w:val="00313527"/>
    <w:rsid w:val="003148F6"/>
    <w:rsid w:val="00316008"/>
    <w:rsid w:val="00316208"/>
    <w:rsid w:val="003174DE"/>
    <w:rsid w:val="00317620"/>
    <w:rsid w:val="00317DC9"/>
    <w:rsid w:val="00320864"/>
    <w:rsid w:val="00321DF0"/>
    <w:rsid w:val="0032290F"/>
    <w:rsid w:val="003239D7"/>
    <w:rsid w:val="00325AD4"/>
    <w:rsid w:val="00325FF6"/>
    <w:rsid w:val="00326A52"/>
    <w:rsid w:val="0032717F"/>
    <w:rsid w:val="00330D26"/>
    <w:rsid w:val="00331208"/>
    <w:rsid w:val="003312D3"/>
    <w:rsid w:val="003317A0"/>
    <w:rsid w:val="0033512F"/>
    <w:rsid w:val="00335B62"/>
    <w:rsid w:val="00335F6E"/>
    <w:rsid w:val="00337600"/>
    <w:rsid w:val="003418A0"/>
    <w:rsid w:val="00342458"/>
    <w:rsid w:val="00345269"/>
    <w:rsid w:val="003454D4"/>
    <w:rsid w:val="00345AEE"/>
    <w:rsid w:val="00347BE9"/>
    <w:rsid w:val="00350A24"/>
    <w:rsid w:val="00350ABC"/>
    <w:rsid w:val="00350E09"/>
    <w:rsid w:val="00352397"/>
    <w:rsid w:val="0035277A"/>
    <w:rsid w:val="00352982"/>
    <w:rsid w:val="00352EAD"/>
    <w:rsid w:val="00353C53"/>
    <w:rsid w:val="00354868"/>
    <w:rsid w:val="00354972"/>
    <w:rsid w:val="00354E26"/>
    <w:rsid w:val="00355143"/>
    <w:rsid w:val="0035696D"/>
    <w:rsid w:val="00361935"/>
    <w:rsid w:val="00361948"/>
    <w:rsid w:val="00362086"/>
    <w:rsid w:val="003620B2"/>
    <w:rsid w:val="00364F68"/>
    <w:rsid w:val="003678F5"/>
    <w:rsid w:val="00370093"/>
    <w:rsid w:val="003713E4"/>
    <w:rsid w:val="003717DF"/>
    <w:rsid w:val="00371803"/>
    <w:rsid w:val="00372C91"/>
    <w:rsid w:val="00373A2A"/>
    <w:rsid w:val="00373C49"/>
    <w:rsid w:val="0038016C"/>
    <w:rsid w:val="00382E10"/>
    <w:rsid w:val="00385226"/>
    <w:rsid w:val="00385EAE"/>
    <w:rsid w:val="003875BC"/>
    <w:rsid w:val="003914DE"/>
    <w:rsid w:val="003946DD"/>
    <w:rsid w:val="00395B3F"/>
    <w:rsid w:val="0039606B"/>
    <w:rsid w:val="003967AF"/>
    <w:rsid w:val="003A0906"/>
    <w:rsid w:val="003A0D72"/>
    <w:rsid w:val="003A2B46"/>
    <w:rsid w:val="003A2B4E"/>
    <w:rsid w:val="003A2E68"/>
    <w:rsid w:val="003A321C"/>
    <w:rsid w:val="003A6817"/>
    <w:rsid w:val="003A72EC"/>
    <w:rsid w:val="003A7BFA"/>
    <w:rsid w:val="003B04BB"/>
    <w:rsid w:val="003B0E08"/>
    <w:rsid w:val="003B1ADA"/>
    <w:rsid w:val="003B302F"/>
    <w:rsid w:val="003B3178"/>
    <w:rsid w:val="003B49C4"/>
    <w:rsid w:val="003B4D01"/>
    <w:rsid w:val="003B52F6"/>
    <w:rsid w:val="003B67D2"/>
    <w:rsid w:val="003B7BCF"/>
    <w:rsid w:val="003B7E32"/>
    <w:rsid w:val="003C0D45"/>
    <w:rsid w:val="003C1F7B"/>
    <w:rsid w:val="003C436C"/>
    <w:rsid w:val="003C4372"/>
    <w:rsid w:val="003C4E0D"/>
    <w:rsid w:val="003C4E92"/>
    <w:rsid w:val="003C66F3"/>
    <w:rsid w:val="003C7265"/>
    <w:rsid w:val="003D04D4"/>
    <w:rsid w:val="003D0B5D"/>
    <w:rsid w:val="003D108C"/>
    <w:rsid w:val="003D3656"/>
    <w:rsid w:val="003D4629"/>
    <w:rsid w:val="003D4FDD"/>
    <w:rsid w:val="003D55C1"/>
    <w:rsid w:val="003D5960"/>
    <w:rsid w:val="003E102C"/>
    <w:rsid w:val="003E6EA7"/>
    <w:rsid w:val="003E7902"/>
    <w:rsid w:val="003E7C1C"/>
    <w:rsid w:val="003F03F9"/>
    <w:rsid w:val="003F0AF2"/>
    <w:rsid w:val="003F0B87"/>
    <w:rsid w:val="003F0DA6"/>
    <w:rsid w:val="003F1A60"/>
    <w:rsid w:val="003F4180"/>
    <w:rsid w:val="003F4DDE"/>
    <w:rsid w:val="003F713E"/>
    <w:rsid w:val="003F78AD"/>
    <w:rsid w:val="004001BC"/>
    <w:rsid w:val="00402882"/>
    <w:rsid w:val="00403525"/>
    <w:rsid w:val="00405295"/>
    <w:rsid w:val="00405B9A"/>
    <w:rsid w:val="004062EA"/>
    <w:rsid w:val="0041101C"/>
    <w:rsid w:val="004114A7"/>
    <w:rsid w:val="00411872"/>
    <w:rsid w:val="00412069"/>
    <w:rsid w:val="00413522"/>
    <w:rsid w:val="004146D2"/>
    <w:rsid w:val="004210A9"/>
    <w:rsid w:val="00421615"/>
    <w:rsid w:val="00422188"/>
    <w:rsid w:val="004225F0"/>
    <w:rsid w:val="00423EF9"/>
    <w:rsid w:val="0042700C"/>
    <w:rsid w:val="004274EB"/>
    <w:rsid w:val="00430019"/>
    <w:rsid w:val="004306BF"/>
    <w:rsid w:val="0043298A"/>
    <w:rsid w:val="00441750"/>
    <w:rsid w:val="004418A7"/>
    <w:rsid w:val="00441BB2"/>
    <w:rsid w:val="00443295"/>
    <w:rsid w:val="0044469D"/>
    <w:rsid w:val="00444E1E"/>
    <w:rsid w:val="00444F27"/>
    <w:rsid w:val="00446022"/>
    <w:rsid w:val="0044655E"/>
    <w:rsid w:val="0044664E"/>
    <w:rsid w:val="004469EA"/>
    <w:rsid w:val="00447885"/>
    <w:rsid w:val="0045072F"/>
    <w:rsid w:val="00450B5B"/>
    <w:rsid w:val="00451607"/>
    <w:rsid w:val="004542E6"/>
    <w:rsid w:val="0045462D"/>
    <w:rsid w:val="00454B03"/>
    <w:rsid w:val="00454FEF"/>
    <w:rsid w:val="004555D8"/>
    <w:rsid w:val="0045696B"/>
    <w:rsid w:val="004616C3"/>
    <w:rsid w:val="00463D56"/>
    <w:rsid w:val="00465945"/>
    <w:rsid w:val="00466CCC"/>
    <w:rsid w:val="00467563"/>
    <w:rsid w:val="00470BB0"/>
    <w:rsid w:val="0047251F"/>
    <w:rsid w:val="00472BB5"/>
    <w:rsid w:val="0047518D"/>
    <w:rsid w:val="00475AAA"/>
    <w:rsid w:val="00475D38"/>
    <w:rsid w:val="00476475"/>
    <w:rsid w:val="00476938"/>
    <w:rsid w:val="004837C8"/>
    <w:rsid w:val="0048750E"/>
    <w:rsid w:val="0049146B"/>
    <w:rsid w:val="00492DDB"/>
    <w:rsid w:val="00494D86"/>
    <w:rsid w:val="004958E1"/>
    <w:rsid w:val="00496D11"/>
    <w:rsid w:val="00496DF7"/>
    <w:rsid w:val="004978DD"/>
    <w:rsid w:val="00497EA2"/>
    <w:rsid w:val="004A1528"/>
    <w:rsid w:val="004A24EC"/>
    <w:rsid w:val="004A26BF"/>
    <w:rsid w:val="004A293F"/>
    <w:rsid w:val="004A4A39"/>
    <w:rsid w:val="004A4EB1"/>
    <w:rsid w:val="004A5EFA"/>
    <w:rsid w:val="004A6125"/>
    <w:rsid w:val="004A6762"/>
    <w:rsid w:val="004A79C7"/>
    <w:rsid w:val="004B07FC"/>
    <w:rsid w:val="004B0848"/>
    <w:rsid w:val="004B0DC3"/>
    <w:rsid w:val="004B1581"/>
    <w:rsid w:val="004B1871"/>
    <w:rsid w:val="004B6CF4"/>
    <w:rsid w:val="004B703D"/>
    <w:rsid w:val="004C0689"/>
    <w:rsid w:val="004C1A44"/>
    <w:rsid w:val="004C3281"/>
    <w:rsid w:val="004C339C"/>
    <w:rsid w:val="004C3E28"/>
    <w:rsid w:val="004C3F2D"/>
    <w:rsid w:val="004C5512"/>
    <w:rsid w:val="004C7CA2"/>
    <w:rsid w:val="004D0B7E"/>
    <w:rsid w:val="004D1BAD"/>
    <w:rsid w:val="004D4CE3"/>
    <w:rsid w:val="004D5F39"/>
    <w:rsid w:val="004D64A0"/>
    <w:rsid w:val="004E15AB"/>
    <w:rsid w:val="004E1820"/>
    <w:rsid w:val="004E2876"/>
    <w:rsid w:val="004E33D7"/>
    <w:rsid w:val="004E38C0"/>
    <w:rsid w:val="004E48FC"/>
    <w:rsid w:val="004E4F26"/>
    <w:rsid w:val="004E522B"/>
    <w:rsid w:val="004E6313"/>
    <w:rsid w:val="004E736C"/>
    <w:rsid w:val="004E77AC"/>
    <w:rsid w:val="004F0CA1"/>
    <w:rsid w:val="004F101C"/>
    <w:rsid w:val="004F1106"/>
    <w:rsid w:val="004F3E63"/>
    <w:rsid w:val="004F40F2"/>
    <w:rsid w:val="004F417F"/>
    <w:rsid w:val="004F622E"/>
    <w:rsid w:val="00500FF2"/>
    <w:rsid w:val="0050125A"/>
    <w:rsid w:val="005019A6"/>
    <w:rsid w:val="00501C25"/>
    <w:rsid w:val="00502495"/>
    <w:rsid w:val="0050334B"/>
    <w:rsid w:val="00505785"/>
    <w:rsid w:val="00507E5F"/>
    <w:rsid w:val="00512151"/>
    <w:rsid w:val="00514812"/>
    <w:rsid w:val="00516B55"/>
    <w:rsid w:val="00517D81"/>
    <w:rsid w:val="00523CDD"/>
    <w:rsid w:val="00525FB1"/>
    <w:rsid w:val="005268BA"/>
    <w:rsid w:val="00530279"/>
    <w:rsid w:val="005319C9"/>
    <w:rsid w:val="00531DCA"/>
    <w:rsid w:val="00531F61"/>
    <w:rsid w:val="00533164"/>
    <w:rsid w:val="00534FDB"/>
    <w:rsid w:val="0053526D"/>
    <w:rsid w:val="00535F7A"/>
    <w:rsid w:val="0053693B"/>
    <w:rsid w:val="005379C7"/>
    <w:rsid w:val="00541C95"/>
    <w:rsid w:val="00542244"/>
    <w:rsid w:val="00542BA1"/>
    <w:rsid w:val="00543461"/>
    <w:rsid w:val="005443C9"/>
    <w:rsid w:val="00544813"/>
    <w:rsid w:val="00545205"/>
    <w:rsid w:val="005464A4"/>
    <w:rsid w:val="005466F1"/>
    <w:rsid w:val="00546AD8"/>
    <w:rsid w:val="005470BB"/>
    <w:rsid w:val="0054758F"/>
    <w:rsid w:val="005477F2"/>
    <w:rsid w:val="00550D2F"/>
    <w:rsid w:val="00551F4F"/>
    <w:rsid w:val="00552B13"/>
    <w:rsid w:val="00552C33"/>
    <w:rsid w:val="0055325F"/>
    <w:rsid w:val="00555FC9"/>
    <w:rsid w:val="005578F4"/>
    <w:rsid w:val="00557F12"/>
    <w:rsid w:val="0056098C"/>
    <w:rsid w:val="00560BDF"/>
    <w:rsid w:val="00561184"/>
    <w:rsid w:val="005612A6"/>
    <w:rsid w:val="0056343A"/>
    <w:rsid w:val="00563598"/>
    <w:rsid w:val="00563C7A"/>
    <w:rsid w:val="00565684"/>
    <w:rsid w:val="0057042A"/>
    <w:rsid w:val="00571238"/>
    <w:rsid w:val="00571B39"/>
    <w:rsid w:val="00572617"/>
    <w:rsid w:val="00573A61"/>
    <w:rsid w:val="005755A5"/>
    <w:rsid w:val="005769BD"/>
    <w:rsid w:val="00581B4E"/>
    <w:rsid w:val="005869E6"/>
    <w:rsid w:val="00587D1C"/>
    <w:rsid w:val="00592986"/>
    <w:rsid w:val="00593E51"/>
    <w:rsid w:val="00594395"/>
    <w:rsid w:val="005965FC"/>
    <w:rsid w:val="005979EB"/>
    <w:rsid w:val="005A0AF1"/>
    <w:rsid w:val="005A0F53"/>
    <w:rsid w:val="005A30CD"/>
    <w:rsid w:val="005A4533"/>
    <w:rsid w:val="005A4F63"/>
    <w:rsid w:val="005A500A"/>
    <w:rsid w:val="005B10D3"/>
    <w:rsid w:val="005B283A"/>
    <w:rsid w:val="005B2C72"/>
    <w:rsid w:val="005B4280"/>
    <w:rsid w:val="005B50B6"/>
    <w:rsid w:val="005B57C0"/>
    <w:rsid w:val="005B62F3"/>
    <w:rsid w:val="005B6494"/>
    <w:rsid w:val="005C02EF"/>
    <w:rsid w:val="005C0702"/>
    <w:rsid w:val="005C1793"/>
    <w:rsid w:val="005C23B5"/>
    <w:rsid w:val="005C28C5"/>
    <w:rsid w:val="005C28FF"/>
    <w:rsid w:val="005C61E6"/>
    <w:rsid w:val="005C72C9"/>
    <w:rsid w:val="005D0418"/>
    <w:rsid w:val="005D0D40"/>
    <w:rsid w:val="005D17DD"/>
    <w:rsid w:val="005D32C5"/>
    <w:rsid w:val="005D3D74"/>
    <w:rsid w:val="005D3DE5"/>
    <w:rsid w:val="005D4129"/>
    <w:rsid w:val="005D5588"/>
    <w:rsid w:val="005D73DB"/>
    <w:rsid w:val="005D78DF"/>
    <w:rsid w:val="005E05EC"/>
    <w:rsid w:val="005E1636"/>
    <w:rsid w:val="005E3473"/>
    <w:rsid w:val="005E34BD"/>
    <w:rsid w:val="005E44EC"/>
    <w:rsid w:val="005E463C"/>
    <w:rsid w:val="005E4683"/>
    <w:rsid w:val="005E550D"/>
    <w:rsid w:val="005E56DC"/>
    <w:rsid w:val="005E65D9"/>
    <w:rsid w:val="005E703B"/>
    <w:rsid w:val="005E7568"/>
    <w:rsid w:val="005F1012"/>
    <w:rsid w:val="005F2AD9"/>
    <w:rsid w:val="005F2BE4"/>
    <w:rsid w:val="005F39BA"/>
    <w:rsid w:val="005F39EE"/>
    <w:rsid w:val="005F452C"/>
    <w:rsid w:val="005F53F9"/>
    <w:rsid w:val="005F670E"/>
    <w:rsid w:val="005F7A00"/>
    <w:rsid w:val="005F7BAB"/>
    <w:rsid w:val="005F7DB2"/>
    <w:rsid w:val="00600184"/>
    <w:rsid w:val="00602DD6"/>
    <w:rsid w:val="00606DEC"/>
    <w:rsid w:val="006074E6"/>
    <w:rsid w:val="0060779B"/>
    <w:rsid w:val="00607E2D"/>
    <w:rsid w:val="00610104"/>
    <w:rsid w:val="00610112"/>
    <w:rsid w:val="006110EE"/>
    <w:rsid w:val="00611390"/>
    <w:rsid w:val="00611A11"/>
    <w:rsid w:val="006124AE"/>
    <w:rsid w:val="00614BDB"/>
    <w:rsid w:val="0061538A"/>
    <w:rsid w:val="00616391"/>
    <w:rsid w:val="0062078C"/>
    <w:rsid w:val="00620DD6"/>
    <w:rsid w:val="0062168D"/>
    <w:rsid w:val="006227C5"/>
    <w:rsid w:val="006236D2"/>
    <w:rsid w:val="0062434B"/>
    <w:rsid w:val="00624469"/>
    <w:rsid w:val="00624AC1"/>
    <w:rsid w:val="0062513B"/>
    <w:rsid w:val="00626CA0"/>
    <w:rsid w:val="0062740E"/>
    <w:rsid w:val="00630087"/>
    <w:rsid w:val="00634A14"/>
    <w:rsid w:val="00634D2C"/>
    <w:rsid w:val="00634E10"/>
    <w:rsid w:val="00635319"/>
    <w:rsid w:val="00637DFC"/>
    <w:rsid w:val="00640407"/>
    <w:rsid w:val="00642D98"/>
    <w:rsid w:val="00643029"/>
    <w:rsid w:val="006430C0"/>
    <w:rsid w:val="00643D62"/>
    <w:rsid w:val="00645868"/>
    <w:rsid w:val="006463EE"/>
    <w:rsid w:val="00646758"/>
    <w:rsid w:val="00646961"/>
    <w:rsid w:val="0064764E"/>
    <w:rsid w:val="006527A8"/>
    <w:rsid w:val="00652823"/>
    <w:rsid w:val="00652BC7"/>
    <w:rsid w:val="00653D6C"/>
    <w:rsid w:val="00653E96"/>
    <w:rsid w:val="006545D8"/>
    <w:rsid w:val="00656785"/>
    <w:rsid w:val="006602C4"/>
    <w:rsid w:val="00663566"/>
    <w:rsid w:val="00664DE0"/>
    <w:rsid w:val="0066561E"/>
    <w:rsid w:val="00665CF9"/>
    <w:rsid w:val="00665D3D"/>
    <w:rsid w:val="00667C14"/>
    <w:rsid w:val="0067084A"/>
    <w:rsid w:val="006708D4"/>
    <w:rsid w:val="00671948"/>
    <w:rsid w:val="006761C6"/>
    <w:rsid w:val="00677D50"/>
    <w:rsid w:val="006810A7"/>
    <w:rsid w:val="00681217"/>
    <w:rsid w:val="00681D87"/>
    <w:rsid w:val="00681FEA"/>
    <w:rsid w:val="006827D7"/>
    <w:rsid w:val="006851BF"/>
    <w:rsid w:val="00685ADB"/>
    <w:rsid w:val="0068758C"/>
    <w:rsid w:val="0068764C"/>
    <w:rsid w:val="00692F1B"/>
    <w:rsid w:val="00695AE8"/>
    <w:rsid w:val="0069662E"/>
    <w:rsid w:val="006966BC"/>
    <w:rsid w:val="006972B9"/>
    <w:rsid w:val="00697CDE"/>
    <w:rsid w:val="006A12D4"/>
    <w:rsid w:val="006A2473"/>
    <w:rsid w:val="006A2630"/>
    <w:rsid w:val="006A4F04"/>
    <w:rsid w:val="006A50B3"/>
    <w:rsid w:val="006A56A1"/>
    <w:rsid w:val="006A5E03"/>
    <w:rsid w:val="006A716B"/>
    <w:rsid w:val="006A7604"/>
    <w:rsid w:val="006B1E9D"/>
    <w:rsid w:val="006B27B3"/>
    <w:rsid w:val="006B3421"/>
    <w:rsid w:val="006B3E01"/>
    <w:rsid w:val="006B3E6C"/>
    <w:rsid w:val="006B6EBB"/>
    <w:rsid w:val="006B7376"/>
    <w:rsid w:val="006B75A3"/>
    <w:rsid w:val="006B7858"/>
    <w:rsid w:val="006C175D"/>
    <w:rsid w:val="006C5409"/>
    <w:rsid w:val="006C560C"/>
    <w:rsid w:val="006C61C8"/>
    <w:rsid w:val="006C7ED8"/>
    <w:rsid w:val="006D1E91"/>
    <w:rsid w:val="006D4B5C"/>
    <w:rsid w:val="006D6261"/>
    <w:rsid w:val="006D6719"/>
    <w:rsid w:val="006D707F"/>
    <w:rsid w:val="006D767D"/>
    <w:rsid w:val="006E617F"/>
    <w:rsid w:val="006E6B24"/>
    <w:rsid w:val="006F04E5"/>
    <w:rsid w:val="006F0638"/>
    <w:rsid w:val="006F0D9F"/>
    <w:rsid w:val="006F412C"/>
    <w:rsid w:val="006F562E"/>
    <w:rsid w:val="006F6CB0"/>
    <w:rsid w:val="006F7AE2"/>
    <w:rsid w:val="00700094"/>
    <w:rsid w:val="00701289"/>
    <w:rsid w:val="00701CEC"/>
    <w:rsid w:val="00703872"/>
    <w:rsid w:val="00703D34"/>
    <w:rsid w:val="007042DF"/>
    <w:rsid w:val="00704A8C"/>
    <w:rsid w:val="00710BCA"/>
    <w:rsid w:val="00710F0F"/>
    <w:rsid w:val="007143FE"/>
    <w:rsid w:val="00714408"/>
    <w:rsid w:val="007144C5"/>
    <w:rsid w:val="007154B9"/>
    <w:rsid w:val="00720E33"/>
    <w:rsid w:val="007213DF"/>
    <w:rsid w:val="00721B39"/>
    <w:rsid w:val="007226D4"/>
    <w:rsid w:val="0072404A"/>
    <w:rsid w:val="0072589C"/>
    <w:rsid w:val="00725A6F"/>
    <w:rsid w:val="00726228"/>
    <w:rsid w:val="0072724B"/>
    <w:rsid w:val="00727697"/>
    <w:rsid w:val="00730BDE"/>
    <w:rsid w:val="007319C4"/>
    <w:rsid w:val="00733D4C"/>
    <w:rsid w:val="00733F9F"/>
    <w:rsid w:val="0073469C"/>
    <w:rsid w:val="007349D4"/>
    <w:rsid w:val="0073608B"/>
    <w:rsid w:val="00736511"/>
    <w:rsid w:val="00736AD2"/>
    <w:rsid w:val="00736C49"/>
    <w:rsid w:val="00737805"/>
    <w:rsid w:val="0073797A"/>
    <w:rsid w:val="00740D5C"/>
    <w:rsid w:val="00743EA4"/>
    <w:rsid w:val="0074416E"/>
    <w:rsid w:val="00746AAA"/>
    <w:rsid w:val="007501E5"/>
    <w:rsid w:val="00752375"/>
    <w:rsid w:val="00752EDA"/>
    <w:rsid w:val="0075407A"/>
    <w:rsid w:val="00756373"/>
    <w:rsid w:val="00756AC4"/>
    <w:rsid w:val="00760290"/>
    <w:rsid w:val="007608CF"/>
    <w:rsid w:val="0076095D"/>
    <w:rsid w:val="007619D5"/>
    <w:rsid w:val="00761A94"/>
    <w:rsid w:val="0076436D"/>
    <w:rsid w:val="00765101"/>
    <w:rsid w:val="007659D6"/>
    <w:rsid w:val="00766F97"/>
    <w:rsid w:val="00767E2C"/>
    <w:rsid w:val="00770FF6"/>
    <w:rsid w:val="0077287D"/>
    <w:rsid w:val="00772CD9"/>
    <w:rsid w:val="00774EF6"/>
    <w:rsid w:val="007764E2"/>
    <w:rsid w:val="0077717D"/>
    <w:rsid w:val="007771D5"/>
    <w:rsid w:val="0077734C"/>
    <w:rsid w:val="007778E9"/>
    <w:rsid w:val="007806C4"/>
    <w:rsid w:val="00781083"/>
    <w:rsid w:val="00782E25"/>
    <w:rsid w:val="00782FAF"/>
    <w:rsid w:val="0078503D"/>
    <w:rsid w:val="007857F6"/>
    <w:rsid w:val="007923F8"/>
    <w:rsid w:val="00792746"/>
    <w:rsid w:val="00793061"/>
    <w:rsid w:val="00793179"/>
    <w:rsid w:val="00793D1C"/>
    <w:rsid w:val="007947D0"/>
    <w:rsid w:val="0079532C"/>
    <w:rsid w:val="007A1E0C"/>
    <w:rsid w:val="007A2D40"/>
    <w:rsid w:val="007A2DF5"/>
    <w:rsid w:val="007A3CD5"/>
    <w:rsid w:val="007A4AC7"/>
    <w:rsid w:val="007A633C"/>
    <w:rsid w:val="007B0A25"/>
    <w:rsid w:val="007B1BA1"/>
    <w:rsid w:val="007B2D54"/>
    <w:rsid w:val="007B36F9"/>
    <w:rsid w:val="007B3834"/>
    <w:rsid w:val="007B3C8A"/>
    <w:rsid w:val="007B4380"/>
    <w:rsid w:val="007B4EA6"/>
    <w:rsid w:val="007B5620"/>
    <w:rsid w:val="007B6343"/>
    <w:rsid w:val="007B7324"/>
    <w:rsid w:val="007B7945"/>
    <w:rsid w:val="007C159C"/>
    <w:rsid w:val="007C1D2D"/>
    <w:rsid w:val="007C268B"/>
    <w:rsid w:val="007C298A"/>
    <w:rsid w:val="007C6520"/>
    <w:rsid w:val="007C69E3"/>
    <w:rsid w:val="007C6CB9"/>
    <w:rsid w:val="007C7138"/>
    <w:rsid w:val="007C7E74"/>
    <w:rsid w:val="007D0707"/>
    <w:rsid w:val="007D071F"/>
    <w:rsid w:val="007D1F0B"/>
    <w:rsid w:val="007D2489"/>
    <w:rsid w:val="007D4B87"/>
    <w:rsid w:val="007D4F61"/>
    <w:rsid w:val="007D534B"/>
    <w:rsid w:val="007D5C33"/>
    <w:rsid w:val="007D7D7D"/>
    <w:rsid w:val="007D7F89"/>
    <w:rsid w:val="007E06C5"/>
    <w:rsid w:val="007E13BE"/>
    <w:rsid w:val="007E3588"/>
    <w:rsid w:val="007E6088"/>
    <w:rsid w:val="007E628F"/>
    <w:rsid w:val="007E6516"/>
    <w:rsid w:val="007F15D6"/>
    <w:rsid w:val="007F1A04"/>
    <w:rsid w:val="007F31C2"/>
    <w:rsid w:val="007F3DE0"/>
    <w:rsid w:val="007F4616"/>
    <w:rsid w:val="007F463C"/>
    <w:rsid w:val="007F503C"/>
    <w:rsid w:val="007F735F"/>
    <w:rsid w:val="00800A6C"/>
    <w:rsid w:val="00802264"/>
    <w:rsid w:val="00803296"/>
    <w:rsid w:val="00805B31"/>
    <w:rsid w:val="00805F41"/>
    <w:rsid w:val="008060D3"/>
    <w:rsid w:val="00806E05"/>
    <w:rsid w:val="008079A6"/>
    <w:rsid w:val="00810583"/>
    <w:rsid w:val="0081598B"/>
    <w:rsid w:val="00817254"/>
    <w:rsid w:val="00820C5D"/>
    <w:rsid w:val="00820C97"/>
    <w:rsid w:val="00820ED7"/>
    <w:rsid w:val="008255E0"/>
    <w:rsid w:val="0082625C"/>
    <w:rsid w:val="00832B12"/>
    <w:rsid w:val="008330E4"/>
    <w:rsid w:val="008352C6"/>
    <w:rsid w:val="00835306"/>
    <w:rsid w:val="00836440"/>
    <w:rsid w:val="00837D39"/>
    <w:rsid w:val="00840482"/>
    <w:rsid w:val="008405F4"/>
    <w:rsid w:val="00841078"/>
    <w:rsid w:val="00841B64"/>
    <w:rsid w:val="008427BA"/>
    <w:rsid w:val="00844C0A"/>
    <w:rsid w:val="00844E91"/>
    <w:rsid w:val="00846330"/>
    <w:rsid w:val="00846CE8"/>
    <w:rsid w:val="008470A2"/>
    <w:rsid w:val="00851A76"/>
    <w:rsid w:val="00856086"/>
    <w:rsid w:val="008567C9"/>
    <w:rsid w:val="00861E4E"/>
    <w:rsid w:val="00862D03"/>
    <w:rsid w:val="008631C4"/>
    <w:rsid w:val="00865382"/>
    <w:rsid w:val="0086635B"/>
    <w:rsid w:val="00873E91"/>
    <w:rsid w:val="00874B98"/>
    <w:rsid w:val="0087531B"/>
    <w:rsid w:val="0087641A"/>
    <w:rsid w:val="0087759D"/>
    <w:rsid w:val="008803C1"/>
    <w:rsid w:val="008810BA"/>
    <w:rsid w:val="00881DF6"/>
    <w:rsid w:val="008821ED"/>
    <w:rsid w:val="0088302B"/>
    <w:rsid w:val="00883D8B"/>
    <w:rsid w:val="00884226"/>
    <w:rsid w:val="00885B62"/>
    <w:rsid w:val="00885E8B"/>
    <w:rsid w:val="00886BEA"/>
    <w:rsid w:val="008871EC"/>
    <w:rsid w:val="00887875"/>
    <w:rsid w:val="00887AB0"/>
    <w:rsid w:val="0089319A"/>
    <w:rsid w:val="0089351D"/>
    <w:rsid w:val="00894D3E"/>
    <w:rsid w:val="008964C9"/>
    <w:rsid w:val="00897C44"/>
    <w:rsid w:val="008A0522"/>
    <w:rsid w:val="008A072D"/>
    <w:rsid w:val="008A17C9"/>
    <w:rsid w:val="008A1B54"/>
    <w:rsid w:val="008A2942"/>
    <w:rsid w:val="008A2D28"/>
    <w:rsid w:val="008A3C8D"/>
    <w:rsid w:val="008A417B"/>
    <w:rsid w:val="008A56F3"/>
    <w:rsid w:val="008A5E28"/>
    <w:rsid w:val="008A6211"/>
    <w:rsid w:val="008A7852"/>
    <w:rsid w:val="008B0658"/>
    <w:rsid w:val="008B4061"/>
    <w:rsid w:val="008B4E4B"/>
    <w:rsid w:val="008B5F6D"/>
    <w:rsid w:val="008B6069"/>
    <w:rsid w:val="008B65F1"/>
    <w:rsid w:val="008B66AD"/>
    <w:rsid w:val="008B6FF1"/>
    <w:rsid w:val="008B7383"/>
    <w:rsid w:val="008C266C"/>
    <w:rsid w:val="008C33B9"/>
    <w:rsid w:val="008C37F8"/>
    <w:rsid w:val="008C4E10"/>
    <w:rsid w:val="008D06AF"/>
    <w:rsid w:val="008D0823"/>
    <w:rsid w:val="008D12F3"/>
    <w:rsid w:val="008D2011"/>
    <w:rsid w:val="008D2DAE"/>
    <w:rsid w:val="008D661E"/>
    <w:rsid w:val="008D75A4"/>
    <w:rsid w:val="008D7811"/>
    <w:rsid w:val="008E0A12"/>
    <w:rsid w:val="008E20C6"/>
    <w:rsid w:val="008E254E"/>
    <w:rsid w:val="008E26E0"/>
    <w:rsid w:val="008E2903"/>
    <w:rsid w:val="008E3AF5"/>
    <w:rsid w:val="008E48F1"/>
    <w:rsid w:val="008E7202"/>
    <w:rsid w:val="008E76BC"/>
    <w:rsid w:val="008F0929"/>
    <w:rsid w:val="008F13FA"/>
    <w:rsid w:val="008F2D72"/>
    <w:rsid w:val="008F3514"/>
    <w:rsid w:val="008F3F0A"/>
    <w:rsid w:val="008F4790"/>
    <w:rsid w:val="00900248"/>
    <w:rsid w:val="009009FC"/>
    <w:rsid w:val="00901223"/>
    <w:rsid w:val="009023AB"/>
    <w:rsid w:val="00902F4D"/>
    <w:rsid w:val="00903FCC"/>
    <w:rsid w:val="009046DC"/>
    <w:rsid w:val="00904A46"/>
    <w:rsid w:val="00905018"/>
    <w:rsid w:val="0090577A"/>
    <w:rsid w:val="00906446"/>
    <w:rsid w:val="00907683"/>
    <w:rsid w:val="00910134"/>
    <w:rsid w:val="00910260"/>
    <w:rsid w:val="00911A32"/>
    <w:rsid w:val="009123CD"/>
    <w:rsid w:val="00915719"/>
    <w:rsid w:val="00915CBA"/>
    <w:rsid w:val="00916C8B"/>
    <w:rsid w:val="009171C6"/>
    <w:rsid w:val="009172E3"/>
    <w:rsid w:val="009177D2"/>
    <w:rsid w:val="00917CD8"/>
    <w:rsid w:val="009202EB"/>
    <w:rsid w:val="009208CE"/>
    <w:rsid w:val="00921B0E"/>
    <w:rsid w:val="0092363D"/>
    <w:rsid w:val="00925ECA"/>
    <w:rsid w:val="00927ABC"/>
    <w:rsid w:val="00932969"/>
    <w:rsid w:val="00932E95"/>
    <w:rsid w:val="00937A90"/>
    <w:rsid w:val="00942121"/>
    <w:rsid w:val="00942987"/>
    <w:rsid w:val="00942D72"/>
    <w:rsid w:val="0094389E"/>
    <w:rsid w:val="009508C9"/>
    <w:rsid w:val="00950E0D"/>
    <w:rsid w:val="00951D02"/>
    <w:rsid w:val="009538C6"/>
    <w:rsid w:val="00953D51"/>
    <w:rsid w:val="00954C56"/>
    <w:rsid w:val="0095504E"/>
    <w:rsid w:val="009571C6"/>
    <w:rsid w:val="00961BC0"/>
    <w:rsid w:val="00961F95"/>
    <w:rsid w:val="00962ABF"/>
    <w:rsid w:val="00962D4E"/>
    <w:rsid w:val="0096364E"/>
    <w:rsid w:val="00963906"/>
    <w:rsid w:val="0096426D"/>
    <w:rsid w:val="00966770"/>
    <w:rsid w:val="00966F01"/>
    <w:rsid w:val="00967C2A"/>
    <w:rsid w:val="009701E3"/>
    <w:rsid w:val="00970AE9"/>
    <w:rsid w:val="00972ACC"/>
    <w:rsid w:val="00973BCF"/>
    <w:rsid w:val="00977149"/>
    <w:rsid w:val="00982AD3"/>
    <w:rsid w:val="00983090"/>
    <w:rsid w:val="009839D0"/>
    <w:rsid w:val="00987263"/>
    <w:rsid w:val="00991D30"/>
    <w:rsid w:val="00991E3A"/>
    <w:rsid w:val="00991EDE"/>
    <w:rsid w:val="0099345F"/>
    <w:rsid w:val="0099733F"/>
    <w:rsid w:val="00997A57"/>
    <w:rsid w:val="009A01C8"/>
    <w:rsid w:val="009A0899"/>
    <w:rsid w:val="009A09E9"/>
    <w:rsid w:val="009A6847"/>
    <w:rsid w:val="009A79D5"/>
    <w:rsid w:val="009A7F8B"/>
    <w:rsid w:val="009B3488"/>
    <w:rsid w:val="009B49D8"/>
    <w:rsid w:val="009B6417"/>
    <w:rsid w:val="009C129F"/>
    <w:rsid w:val="009C1C8B"/>
    <w:rsid w:val="009C2D1E"/>
    <w:rsid w:val="009C4E27"/>
    <w:rsid w:val="009C55EF"/>
    <w:rsid w:val="009C6AC9"/>
    <w:rsid w:val="009C7541"/>
    <w:rsid w:val="009C7725"/>
    <w:rsid w:val="009C7853"/>
    <w:rsid w:val="009C7DBA"/>
    <w:rsid w:val="009D039B"/>
    <w:rsid w:val="009D0C71"/>
    <w:rsid w:val="009D1774"/>
    <w:rsid w:val="009D25B3"/>
    <w:rsid w:val="009D3668"/>
    <w:rsid w:val="009D5222"/>
    <w:rsid w:val="009D615D"/>
    <w:rsid w:val="009E1DB0"/>
    <w:rsid w:val="009E2544"/>
    <w:rsid w:val="009E2F7E"/>
    <w:rsid w:val="009E6E5C"/>
    <w:rsid w:val="009E7184"/>
    <w:rsid w:val="009E74BD"/>
    <w:rsid w:val="009E7A56"/>
    <w:rsid w:val="009F02AE"/>
    <w:rsid w:val="009F167B"/>
    <w:rsid w:val="009F21A3"/>
    <w:rsid w:val="009F3781"/>
    <w:rsid w:val="009F684E"/>
    <w:rsid w:val="009F6DCF"/>
    <w:rsid w:val="00A00313"/>
    <w:rsid w:val="00A0095A"/>
    <w:rsid w:val="00A02522"/>
    <w:rsid w:val="00A0315B"/>
    <w:rsid w:val="00A03A73"/>
    <w:rsid w:val="00A0615F"/>
    <w:rsid w:val="00A06293"/>
    <w:rsid w:val="00A07832"/>
    <w:rsid w:val="00A12AEC"/>
    <w:rsid w:val="00A13E18"/>
    <w:rsid w:val="00A13EFD"/>
    <w:rsid w:val="00A14CFB"/>
    <w:rsid w:val="00A20813"/>
    <w:rsid w:val="00A20BE7"/>
    <w:rsid w:val="00A215B1"/>
    <w:rsid w:val="00A215E9"/>
    <w:rsid w:val="00A22735"/>
    <w:rsid w:val="00A229C9"/>
    <w:rsid w:val="00A23F8B"/>
    <w:rsid w:val="00A24F64"/>
    <w:rsid w:val="00A26400"/>
    <w:rsid w:val="00A26420"/>
    <w:rsid w:val="00A26BFE"/>
    <w:rsid w:val="00A27671"/>
    <w:rsid w:val="00A27B8E"/>
    <w:rsid w:val="00A326C7"/>
    <w:rsid w:val="00A3342E"/>
    <w:rsid w:val="00A34A0C"/>
    <w:rsid w:val="00A34AC5"/>
    <w:rsid w:val="00A35849"/>
    <w:rsid w:val="00A36C4F"/>
    <w:rsid w:val="00A3782B"/>
    <w:rsid w:val="00A45294"/>
    <w:rsid w:val="00A46D25"/>
    <w:rsid w:val="00A46E8C"/>
    <w:rsid w:val="00A5197C"/>
    <w:rsid w:val="00A51C2E"/>
    <w:rsid w:val="00A53CA9"/>
    <w:rsid w:val="00A542B1"/>
    <w:rsid w:val="00A54414"/>
    <w:rsid w:val="00A549A8"/>
    <w:rsid w:val="00A54B87"/>
    <w:rsid w:val="00A54C19"/>
    <w:rsid w:val="00A55621"/>
    <w:rsid w:val="00A5634B"/>
    <w:rsid w:val="00A57FFA"/>
    <w:rsid w:val="00A60DC4"/>
    <w:rsid w:val="00A6236E"/>
    <w:rsid w:val="00A6247D"/>
    <w:rsid w:val="00A626E8"/>
    <w:rsid w:val="00A63EB9"/>
    <w:rsid w:val="00A653E6"/>
    <w:rsid w:val="00A6698E"/>
    <w:rsid w:val="00A67680"/>
    <w:rsid w:val="00A7091A"/>
    <w:rsid w:val="00A7159F"/>
    <w:rsid w:val="00A7327F"/>
    <w:rsid w:val="00A73701"/>
    <w:rsid w:val="00A762F9"/>
    <w:rsid w:val="00A76980"/>
    <w:rsid w:val="00A777B0"/>
    <w:rsid w:val="00A80FD9"/>
    <w:rsid w:val="00A8155F"/>
    <w:rsid w:val="00A83E63"/>
    <w:rsid w:val="00A83E8E"/>
    <w:rsid w:val="00A842AA"/>
    <w:rsid w:val="00A918AC"/>
    <w:rsid w:val="00A93140"/>
    <w:rsid w:val="00A94536"/>
    <w:rsid w:val="00A94A23"/>
    <w:rsid w:val="00A95DDB"/>
    <w:rsid w:val="00A97515"/>
    <w:rsid w:val="00AA1903"/>
    <w:rsid w:val="00AA2386"/>
    <w:rsid w:val="00AA2539"/>
    <w:rsid w:val="00AA3117"/>
    <w:rsid w:val="00AA3E41"/>
    <w:rsid w:val="00AA400D"/>
    <w:rsid w:val="00AA6E7E"/>
    <w:rsid w:val="00AB174D"/>
    <w:rsid w:val="00AB3028"/>
    <w:rsid w:val="00AB3E66"/>
    <w:rsid w:val="00AB3F8F"/>
    <w:rsid w:val="00AB4483"/>
    <w:rsid w:val="00AB5001"/>
    <w:rsid w:val="00AB597C"/>
    <w:rsid w:val="00AB59CD"/>
    <w:rsid w:val="00AB774D"/>
    <w:rsid w:val="00AB7899"/>
    <w:rsid w:val="00AC0B50"/>
    <w:rsid w:val="00AC10F2"/>
    <w:rsid w:val="00AC195F"/>
    <w:rsid w:val="00AC2CF4"/>
    <w:rsid w:val="00AC3094"/>
    <w:rsid w:val="00AC3F0A"/>
    <w:rsid w:val="00AC4C6F"/>
    <w:rsid w:val="00AC5029"/>
    <w:rsid w:val="00AC5456"/>
    <w:rsid w:val="00AC7457"/>
    <w:rsid w:val="00AD2A7B"/>
    <w:rsid w:val="00AD3BC7"/>
    <w:rsid w:val="00AD4375"/>
    <w:rsid w:val="00AD4440"/>
    <w:rsid w:val="00AD6393"/>
    <w:rsid w:val="00AD767C"/>
    <w:rsid w:val="00AE0E47"/>
    <w:rsid w:val="00AE2C78"/>
    <w:rsid w:val="00AE3967"/>
    <w:rsid w:val="00AE4A9A"/>
    <w:rsid w:val="00AE4D47"/>
    <w:rsid w:val="00AE50B0"/>
    <w:rsid w:val="00AE51BB"/>
    <w:rsid w:val="00AE683B"/>
    <w:rsid w:val="00AE7E40"/>
    <w:rsid w:val="00AF2872"/>
    <w:rsid w:val="00AF50C7"/>
    <w:rsid w:val="00AF5478"/>
    <w:rsid w:val="00AF77CC"/>
    <w:rsid w:val="00AF7DC9"/>
    <w:rsid w:val="00B000BE"/>
    <w:rsid w:val="00B01CB2"/>
    <w:rsid w:val="00B02194"/>
    <w:rsid w:val="00B02269"/>
    <w:rsid w:val="00B023FF"/>
    <w:rsid w:val="00B02AB7"/>
    <w:rsid w:val="00B03172"/>
    <w:rsid w:val="00B04862"/>
    <w:rsid w:val="00B05872"/>
    <w:rsid w:val="00B069A9"/>
    <w:rsid w:val="00B06DB0"/>
    <w:rsid w:val="00B0776E"/>
    <w:rsid w:val="00B11A32"/>
    <w:rsid w:val="00B12990"/>
    <w:rsid w:val="00B1410B"/>
    <w:rsid w:val="00B168EE"/>
    <w:rsid w:val="00B17806"/>
    <w:rsid w:val="00B21082"/>
    <w:rsid w:val="00B231F1"/>
    <w:rsid w:val="00B2408E"/>
    <w:rsid w:val="00B2448D"/>
    <w:rsid w:val="00B24AA6"/>
    <w:rsid w:val="00B24BD4"/>
    <w:rsid w:val="00B26720"/>
    <w:rsid w:val="00B27A99"/>
    <w:rsid w:val="00B27C87"/>
    <w:rsid w:val="00B301C6"/>
    <w:rsid w:val="00B3053C"/>
    <w:rsid w:val="00B30BD6"/>
    <w:rsid w:val="00B318BA"/>
    <w:rsid w:val="00B32411"/>
    <w:rsid w:val="00B3270A"/>
    <w:rsid w:val="00B35188"/>
    <w:rsid w:val="00B35198"/>
    <w:rsid w:val="00B351F8"/>
    <w:rsid w:val="00B37781"/>
    <w:rsid w:val="00B377F0"/>
    <w:rsid w:val="00B405C3"/>
    <w:rsid w:val="00B4060B"/>
    <w:rsid w:val="00B4260A"/>
    <w:rsid w:val="00B42AE8"/>
    <w:rsid w:val="00B42BD8"/>
    <w:rsid w:val="00B439C3"/>
    <w:rsid w:val="00B44977"/>
    <w:rsid w:val="00B44CE6"/>
    <w:rsid w:val="00B47193"/>
    <w:rsid w:val="00B474A3"/>
    <w:rsid w:val="00B52129"/>
    <w:rsid w:val="00B53742"/>
    <w:rsid w:val="00B54877"/>
    <w:rsid w:val="00B57871"/>
    <w:rsid w:val="00B6015A"/>
    <w:rsid w:val="00B6615A"/>
    <w:rsid w:val="00B66660"/>
    <w:rsid w:val="00B71265"/>
    <w:rsid w:val="00B7174B"/>
    <w:rsid w:val="00B71EB4"/>
    <w:rsid w:val="00B73135"/>
    <w:rsid w:val="00B74FDC"/>
    <w:rsid w:val="00B76D4E"/>
    <w:rsid w:val="00B83247"/>
    <w:rsid w:val="00B849DB"/>
    <w:rsid w:val="00B857A2"/>
    <w:rsid w:val="00B878A4"/>
    <w:rsid w:val="00B9020C"/>
    <w:rsid w:val="00B9138D"/>
    <w:rsid w:val="00B92539"/>
    <w:rsid w:val="00B92C25"/>
    <w:rsid w:val="00B93BBC"/>
    <w:rsid w:val="00B94B41"/>
    <w:rsid w:val="00B95651"/>
    <w:rsid w:val="00B9610F"/>
    <w:rsid w:val="00B96745"/>
    <w:rsid w:val="00B96B9A"/>
    <w:rsid w:val="00B96D41"/>
    <w:rsid w:val="00BA154A"/>
    <w:rsid w:val="00BA2A4A"/>
    <w:rsid w:val="00BA314F"/>
    <w:rsid w:val="00BA3920"/>
    <w:rsid w:val="00BA48DD"/>
    <w:rsid w:val="00BA760C"/>
    <w:rsid w:val="00BB196D"/>
    <w:rsid w:val="00BB1E1F"/>
    <w:rsid w:val="00BB22A9"/>
    <w:rsid w:val="00BB26DE"/>
    <w:rsid w:val="00BB3D50"/>
    <w:rsid w:val="00BC192F"/>
    <w:rsid w:val="00BC2305"/>
    <w:rsid w:val="00BC25E5"/>
    <w:rsid w:val="00BC3B9F"/>
    <w:rsid w:val="00BC4119"/>
    <w:rsid w:val="00BC4FC2"/>
    <w:rsid w:val="00BC5741"/>
    <w:rsid w:val="00BC5AAF"/>
    <w:rsid w:val="00BC5F11"/>
    <w:rsid w:val="00BC66CF"/>
    <w:rsid w:val="00BC7CB8"/>
    <w:rsid w:val="00BD4800"/>
    <w:rsid w:val="00BD4A5F"/>
    <w:rsid w:val="00BD4FE8"/>
    <w:rsid w:val="00BD5C89"/>
    <w:rsid w:val="00BD7E40"/>
    <w:rsid w:val="00BD7FFA"/>
    <w:rsid w:val="00BE21DB"/>
    <w:rsid w:val="00BE22E2"/>
    <w:rsid w:val="00BE2EC5"/>
    <w:rsid w:val="00BE30F4"/>
    <w:rsid w:val="00BE42D6"/>
    <w:rsid w:val="00BE507F"/>
    <w:rsid w:val="00BE7785"/>
    <w:rsid w:val="00BF263A"/>
    <w:rsid w:val="00BF2683"/>
    <w:rsid w:val="00BF7C4E"/>
    <w:rsid w:val="00C001FF"/>
    <w:rsid w:val="00C00FCB"/>
    <w:rsid w:val="00C01084"/>
    <w:rsid w:val="00C011D1"/>
    <w:rsid w:val="00C01972"/>
    <w:rsid w:val="00C01CA3"/>
    <w:rsid w:val="00C03B4C"/>
    <w:rsid w:val="00C04051"/>
    <w:rsid w:val="00C07E27"/>
    <w:rsid w:val="00C1296C"/>
    <w:rsid w:val="00C12AEC"/>
    <w:rsid w:val="00C150DA"/>
    <w:rsid w:val="00C16611"/>
    <w:rsid w:val="00C16BE1"/>
    <w:rsid w:val="00C177C9"/>
    <w:rsid w:val="00C20F5F"/>
    <w:rsid w:val="00C21FC7"/>
    <w:rsid w:val="00C232E7"/>
    <w:rsid w:val="00C2331F"/>
    <w:rsid w:val="00C23A4F"/>
    <w:rsid w:val="00C23C84"/>
    <w:rsid w:val="00C25ACC"/>
    <w:rsid w:val="00C304B5"/>
    <w:rsid w:val="00C309A5"/>
    <w:rsid w:val="00C321D9"/>
    <w:rsid w:val="00C3270B"/>
    <w:rsid w:val="00C32DFA"/>
    <w:rsid w:val="00C33040"/>
    <w:rsid w:val="00C33C02"/>
    <w:rsid w:val="00C33DA9"/>
    <w:rsid w:val="00C35558"/>
    <w:rsid w:val="00C35B0E"/>
    <w:rsid w:val="00C37611"/>
    <w:rsid w:val="00C4197C"/>
    <w:rsid w:val="00C423F9"/>
    <w:rsid w:val="00C43C18"/>
    <w:rsid w:val="00C44864"/>
    <w:rsid w:val="00C45299"/>
    <w:rsid w:val="00C45FBA"/>
    <w:rsid w:val="00C466A6"/>
    <w:rsid w:val="00C471BF"/>
    <w:rsid w:val="00C4761E"/>
    <w:rsid w:val="00C47E14"/>
    <w:rsid w:val="00C508BE"/>
    <w:rsid w:val="00C50C88"/>
    <w:rsid w:val="00C518FB"/>
    <w:rsid w:val="00C52B88"/>
    <w:rsid w:val="00C52C76"/>
    <w:rsid w:val="00C53842"/>
    <w:rsid w:val="00C53A19"/>
    <w:rsid w:val="00C53E32"/>
    <w:rsid w:val="00C5429D"/>
    <w:rsid w:val="00C55FDD"/>
    <w:rsid w:val="00C561C0"/>
    <w:rsid w:val="00C56954"/>
    <w:rsid w:val="00C56B3D"/>
    <w:rsid w:val="00C56CFE"/>
    <w:rsid w:val="00C57256"/>
    <w:rsid w:val="00C57264"/>
    <w:rsid w:val="00C57FB0"/>
    <w:rsid w:val="00C60B28"/>
    <w:rsid w:val="00C61D8C"/>
    <w:rsid w:val="00C6210E"/>
    <w:rsid w:val="00C65A52"/>
    <w:rsid w:val="00C67C32"/>
    <w:rsid w:val="00C70892"/>
    <w:rsid w:val="00C70CED"/>
    <w:rsid w:val="00C70F8C"/>
    <w:rsid w:val="00C7100C"/>
    <w:rsid w:val="00C71B18"/>
    <w:rsid w:val="00C7331B"/>
    <w:rsid w:val="00C7345E"/>
    <w:rsid w:val="00C738B9"/>
    <w:rsid w:val="00C73C0D"/>
    <w:rsid w:val="00C73EC4"/>
    <w:rsid w:val="00C74107"/>
    <w:rsid w:val="00C76CF5"/>
    <w:rsid w:val="00C7757D"/>
    <w:rsid w:val="00C77BAA"/>
    <w:rsid w:val="00C77BE2"/>
    <w:rsid w:val="00C80230"/>
    <w:rsid w:val="00C8045C"/>
    <w:rsid w:val="00C80964"/>
    <w:rsid w:val="00C81D51"/>
    <w:rsid w:val="00C81FC0"/>
    <w:rsid w:val="00C828FD"/>
    <w:rsid w:val="00C83A3C"/>
    <w:rsid w:val="00C85813"/>
    <w:rsid w:val="00C859AA"/>
    <w:rsid w:val="00C86170"/>
    <w:rsid w:val="00C91A24"/>
    <w:rsid w:val="00C91F42"/>
    <w:rsid w:val="00C93ACC"/>
    <w:rsid w:val="00C93D13"/>
    <w:rsid w:val="00C941E7"/>
    <w:rsid w:val="00C941ED"/>
    <w:rsid w:val="00C9630E"/>
    <w:rsid w:val="00C9764D"/>
    <w:rsid w:val="00CA0DAB"/>
    <w:rsid w:val="00CA21C8"/>
    <w:rsid w:val="00CA3767"/>
    <w:rsid w:val="00CA6CE1"/>
    <w:rsid w:val="00CA7E05"/>
    <w:rsid w:val="00CB0438"/>
    <w:rsid w:val="00CB1199"/>
    <w:rsid w:val="00CB1B86"/>
    <w:rsid w:val="00CB28C2"/>
    <w:rsid w:val="00CB312C"/>
    <w:rsid w:val="00CB3F3B"/>
    <w:rsid w:val="00CB4BC3"/>
    <w:rsid w:val="00CB5AE6"/>
    <w:rsid w:val="00CB6C3A"/>
    <w:rsid w:val="00CB74AA"/>
    <w:rsid w:val="00CC0426"/>
    <w:rsid w:val="00CC1051"/>
    <w:rsid w:val="00CC1678"/>
    <w:rsid w:val="00CC1708"/>
    <w:rsid w:val="00CC53C9"/>
    <w:rsid w:val="00CC5504"/>
    <w:rsid w:val="00CC5592"/>
    <w:rsid w:val="00CC77F9"/>
    <w:rsid w:val="00CD1A8D"/>
    <w:rsid w:val="00CD21F0"/>
    <w:rsid w:val="00CD5FED"/>
    <w:rsid w:val="00CD6241"/>
    <w:rsid w:val="00CD68C2"/>
    <w:rsid w:val="00CD7A2C"/>
    <w:rsid w:val="00CE0E85"/>
    <w:rsid w:val="00CE108C"/>
    <w:rsid w:val="00CE1F51"/>
    <w:rsid w:val="00CE3342"/>
    <w:rsid w:val="00CE43D1"/>
    <w:rsid w:val="00CE5548"/>
    <w:rsid w:val="00CF171A"/>
    <w:rsid w:val="00CF1D0E"/>
    <w:rsid w:val="00CF1EF2"/>
    <w:rsid w:val="00CF2BAA"/>
    <w:rsid w:val="00CF416A"/>
    <w:rsid w:val="00CF4C0A"/>
    <w:rsid w:val="00CF7250"/>
    <w:rsid w:val="00D0094B"/>
    <w:rsid w:val="00D00E51"/>
    <w:rsid w:val="00D01F71"/>
    <w:rsid w:val="00D02D4C"/>
    <w:rsid w:val="00D03369"/>
    <w:rsid w:val="00D03CBE"/>
    <w:rsid w:val="00D0580F"/>
    <w:rsid w:val="00D05EF9"/>
    <w:rsid w:val="00D0682C"/>
    <w:rsid w:val="00D06AD5"/>
    <w:rsid w:val="00D06B2C"/>
    <w:rsid w:val="00D076E7"/>
    <w:rsid w:val="00D07A60"/>
    <w:rsid w:val="00D1103A"/>
    <w:rsid w:val="00D11A23"/>
    <w:rsid w:val="00D12D7C"/>
    <w:rsid w:val="00D14FA8"/>
    <w:rsid w:val="00D162EB"/>
    <w:rsid w:val="00D16519"/>
    <w:rsid w:val="00D17B96"/>
    <w:rsid w:val="00D20316"/>
    <w:rsid w:val="00D2038E"/>
    <w:rsid w:val="00D21475"/>
    <w:rsid w:val="00D21896"/>
    <w:rsid w:val="00D23827"/>
    <w:rsid w:val="00D26D41"/>
    <w:rsid w:val="00D30149"/>
    <w:rsid w:val="00D33C9E"/>
    <w:rsid w:val="00D358A5"/>
    <w:rsid w:val="00D36D11"/>
    <w:rsid w:val="00D3734C"/>
    <w:rsid w:val="00D37F25"/>
    <w:rsid w:val="00D408D4"/>
    <w:rsid w:val="00D46656"/>
    <w:rsid w:val="00D51500"/>
    <w:rsid w:val="00D52216"/>
    <w:rsid w:val="00D545F3"/>
    <w:rsid w:val="00D54778"/>
    <w:rsid w:val="00D54950"/>
    <w:rsid w:val="00D549E4"/>
    <w:rsid w:val="00D57B68"/>
    <w:rsid w:val="00D61CDA"/>
    <w:rsid w:val="00D621D4"/>
    <w:rsid w:val="00D63D48"/>
    <w:rsid w:val="00D669B2"/>
    <w:rsid w:val="00D66EFD"/>
    <w:rsid w:val="00D71AD1"/>
    <w:rsid w:val="00D71B50"/>
    <w:rsid w:val="00D72C8F"/>
    <w:rsid w:val="00D76100"/>
    <w:rsid w:val="00D8063F"/>
    <w:rsid w:val="00D81D52"/>
    <w:rsid w:val="00D82D27"/>
    <w:rsid w:val="00D82D7A"/>
    <w:rsid w:val="00D842A6"/>
    <w:rsid w:val="00D85FF4"/>
    <w:rsid w:val="00D96C36"/>
    <w:rsid w:val="00DA0174"/>
    <w:rsid w:val="00DA0726"/>
    <w:rsid w:val="00DA08B1"/>
    <w:rsid w:val="00DA0CD7"/>
    <w:rsid w:val="00DA3F28"/>
    <w:rsid w:val="00DA4767"/>
    <w:rsid w:val="00DA684B"/>
    <w:rsid w:val="00DA6C6B"/>
    <w:rsid w:val="00DA70FA"/>
    <w:rsid w:val="00DA7647"/>
    <w:rsid w:val="00DA7943"/>
    <w:rsid w:val="00DB2978"/>
    <w:rsid w:val="00DB33C3"/>
    <w:rsid w:val="00DB4333"/>
    <w:rsid w:val="00DB4C57"/>
    <w:rsid w:val="00DB555E"/>
    <w:rsid w:val="00DB7702"/>
    <w:rsid w:val="00DB7B66"/>
    <w:rsid w:val="00DC1792"/>
    <w:rsid w:val="00DC1908"/>
    <w:rsid w:val="00DC38C8"/>
    <w:rsid w:val="00DC4F50"/>
    <w:rsid w:val="00DC65F1"/>
    <w:rsid w:val="00DC72F0"/>
    <w:rsid w:val="00DD09C2"/>
    <w:rsid w:val="00DD4276"/>
    <w:rsid w:val="00DD7958"/>
    <w:rsid w:val="00DE1197"/>
    <w:rsid w:val="00DE31EE"/>
    <w:rsid w:val="00DE35D0"/>
    <w:rsid w:val="00DE6511"/>
    <w:rsid w:val="00DE692A"/>
    <w:rsid w:val="00DE7E50"/>
    <w:rsid w:val="00DF0AF5"/>
    <w:rsid w:val="00DF0EEC"/>
    <w:rsid w:val="00DF1E03"/>
    <w:rsid w:val="00DF1EE9"/>
    <w:rsid w:val="00DF20B1"/>
    <w:rsid w:val="00DF3D9C"/>
    <w:rsid w:val="00DF60BC"/>
    <w:rsid w:val="00DF6E1E"/>
    <w:rsid w:val="00DF72C3"/>
    <w:rsid w:val="00DF7A78"/>
    <w:rsid w:val="00E00558"/>
    <w:rsid w:val="00E02C08"/>
    <w:rsid w:val="00E039EA"/>
    <w:rsid w:val="00E0503F"/>
    <w:rsid w:val="00E0532C"/>
    <w:rsid w:val="00E065DD"/>
    <w:rsid w:val="00E12FFF"/>
    <w:rsid w:val="00E15087"/>
    <w:rsid w:val="00E171DD"/>
    <w:rsid w:val="00E20841"/>
    <w:rsid w:val="00E20B53"/>
    <w:rsid w:val="00E259F0"/>
    <w:rsid w:val="00E2614C"/>
    <w:rsid w:val="00E27B85"/>
    <w:rsid w:val="00E30F1A"/>
    <w:rsid w:val="00E316EF"/>
    <w:rsid w:val="00E31845"/>
    <w:rsid w:val="00E3227D"/>
    <w:rsid w:val="00E32B39"/>
    <w:rsid w:val="00E338AD"/>
    <w:rsid w:val="00E33D27"/>
    <w:rsid w:val="00E34A70"/>
    <w:rsid w:val="00E35AE1"/>
    <w:rsid w:val="00E35C8F"/>
    <w:rsid w:val="00E36159"/>
    <w:rsid w:val="00E42BEA"/>
    <w:rsid w:val="00E43775"/>
    <w:rsid w:val="00E45D59"/>
    <w:rsid w:val="00E47274"/>
    <w:rsid w:val="00E47728"/>
    <w:rsid w:val="00E502F2"/>
    <w:rsid w:val="00E50EB8"/>
    <w:rsid w:val="00E51DA7"/>
    <w:rsid w:val="00E51FA4"/>
    <w:rsid w:val="00E5296F"/>
    <w:rsid w:val="00E52E9D"/>
    <w:rsid w:val="00E532AB"/>
    <w:rsid w:val="00E552E4"/>
    <w:rsid w:val="00E55BBD"/>
    <w:rsid w:val="00E5616D"/>
    <w:rsid w:val="00E5670A"/>
    <w:rsid w:val="00E5734B"/>
    <w:rsid w:val="00E6248A"/>
    <w:rsid w:val="00E64022"/>
    <w:rsid w:val="00E6585D"/>
    <w:rsid w:val="00E65F1F"/>
    <w:rsid w:val="00E66F02"/>
    <w:rsid w:val="00E71DCC"/>
    <w:rsid w:val="00E72693"/>
    <w:rsid w:val="00E72A0F"/>
    <w:rsid w:val="00E72BF4"/>
    <w:rsid w:val="00E73009"/>
    <w:rsid w:val="00E744C5"/>
    <w:rsid w:val="00E74816"/>
    <w:rsid w:val="00E74CF0"/>
    <w:rsid w:val="00E74E17"/>
    <w:rsid w:val="00E7592D"/>
    <w:rsid w:val="00E75A72"/>
    <w:rsid w:val="00E7676A"/>
    <w:rsid w:val="00E76970"/>
    <w:rsid w:val="00E77379"/>
    <w:rsid w:val="00E77AF8"/>
    <w:rsid w:val="00E80868"/>
    <w:rsid w:val="00E81249"/>
    <w:rsid w:val="00E82BD1"/>
    <w:rsid w:val="00E8368E"/>
    <w:rsid w:val="00E84FA2"/>
    <w:rsid w:val="00E854A6"/>
    <w:rsid w:val="00E85D0B"/>
    <w:rsid w:val="00E87317"/>
    <w:rsid w:val="00E92324"/>
    <w:rsid w:val="00E93A53"/>
    <w:rsid w:val="00E9427C"/>
    <w:rsid w:val="00E948CA"/>
    <w:rsid w:val="00E94A77"/>
    <w:rsid w:val="00E94B6B"/>
    <w:rsid w:val="00E95870"/>
    <w:rsid w:val="00E96574"/>
    <w:rsid w:val="00E978A3"/>
    <w:rsid w:val="00E97B35"/>
    <w:rsid w:val="00E97B71"/>
    <w:rsid w:val="00EA019F"/>
    <w:rsid w:val="00EA03F8"/>
    <w:rsid w:val="00EA2947"/>
    <w:rsid w:val="00EA2C2D"/>
    <w:rsid w:val="00EA4171"/>
    <w:rsid w:val="00EA4FF2"/>
    <w:rsid w:val="00EA5099"/>
    <w:rsid w:val="00EA64B0"/>
    <w:rsid w:val="00EA672F"/>
    <w:rsid w:val="00EB0F15"/>
    <w:rsid w:val="00EB1454"/>
    <w:rsid w:val="00EB6A08"/>
    <w:rsid w:val="00EC2065"/>
    <w:rsid w:val="00EC3935"/>
    <w:rsid w:val="00EC6A15"/>
    <w:rsid w:val="00ED0462"/>
    <w:rsid w:val="00ED1F7D"/>
    <w:rsid w:val="00ED38FB"/>
    <w:rsid w:val="00ED4743"/>
    <w:rsid w:val="00ED582E"/>
    <w:rsid w:val="00ED6AF1"/>
    <w:rsid w:val="00ED6BFF"/>
    <w:rsid w:val="00ED73FD"/>
    <w:rsid w:val="00ED7D5C"/>
    <w:rsid w:val="00EE0E14"/>
    <w:rsid w:val="00EE1481"/>
    <w:rsid w:val="00EE2E16"/>
    <w:rsid w:val="00EE3210"/>
    <w:rsid w:val="00EE5402"/>
    <w:rsid w:val="00EE7C42"/>
    <w:rsid w:val="00EF1C88"/>
    <w:rsid w:val="00EF3DA2"/>
    <w:rsid w:val="00EF75EE"/>
    <w:rsid w:val="00F0070E"/>
    <w:rsid w:val="00F014A8"/>
    <w:rsid w:val="00F019A5"/>
    <w:rsid w:val="00F02484"/>
    <w:rsid w:val="00F031C3"/>
    <w:rsid w:val="00F03977"/>
    <w:rsid w:val="00F03A34"/>
    <w:rsid w:val="00F04D32"/>
    <w:rsid w:val="00F07939"/>
    <w:rsid w:val="00F07D5A"/>
    <w:rsid w:val="00F10313"/>
    <w:rsid w:val="00F10CA1"/>
    <w:rsid w:val="00F11D17"/>
    <w:rsid w:val="00F147A7"/>
    <w:rsid w:val="00F17076"/>
    <w:rsid w:val="00F20374"/>
    <w:rsid w:val="00F21AF6"/>
    <w:rsid w:val="00F22B97"/>
    <w:rsid w:val="00F250E1"/>
    <w:rsid w:val="00F25204"/>
    <w:rsid w:val="00F31608"/>
    <w:rsid w:val="00F317CB"/>
    <w:rsid w:val="00F32978"/>
    <w:rsid w:val="00F350A1"/>
    <w:rsid w:val="00F35B8D"/>
    <w:rsid w:val="00F361DE"/>
    <w:rsid w:val="00F36420"/>
    <w:rsid w:val="00F36C37"/>
    <w:rsid w:val="00F36F73"/>
    <w:rsid w:val="00F41E74"/>
    <w:rsid w:val="00F4275F"/>
    <w:rsid w:val="00F43372"/>
    <w:rsid w:val="00F4352E"/>
    <w:rsid w:val="00F43836"/>
    <w:rsid w:val="00F43EE1"/>
    <w:rsid w:val="00F45233"/>
    <w:rsid w:val="00F460A9"/>
    <w:rsid w:val="00F46A17"/>
    <w:rsid w:val="00F4714D"/>
    <w:rsid w:val="00F50067"/>
    <w:rsid w:val="00F510B7"/>
    <w:rsid w:val="00F51105"/>
    <w:rsid w:val="00F522AD"/>
    <w:rsid w:val="00F52DF9"/>
    <w:rsid w:val="00F53A79"/>
    <w:rsid w:val="00F55444"/>
    <w:rsid w:val="00F55F50"/>
    <w:rsid w:val="00F56371"/>
    <w:rsid w:val="00F602B4"/>
    <w:rsid w:val="00F614C5"/>
    <w:rsid w:val="00F620B9"/>
    <w:rsid w:val="00F65144"/>
    <w:rsid w:val="00F66520"/>
    <w:rsid w:val="00F736B1"/>
    <w:rsid w:val="00F74477"/>
    <w:rsid w:val="00F7474F"/>
    <w:rsid w:val="00F756FF"/>
    <w:rsid w:val="00F761C4"/>
    <w:rsid w:val="00F77DA7"/>
    <w:rsid w:val="00F807B2"/>
    <w:rsid w:val="00F808DB"/>
    <w:rsid w:val="00F818BB"/>
    <w:rsid w:val="00F821BD"/>
    <w:rsid w:val="00F82421"/>
    <w:rsid w:val="00F8370E"/>
    <w:rsid w:val="00F83B05"/>
    <w:rsid w:val="00F8534A"/>
    <w:rsid w:val="00F8557D"/>
    <w:rsid w:val="00F85A39"/>
    <w:rsid w:val="00F85B8A"/>
    <w:rsid w:val="00F871B2"/>
    <w:rsid w:val="00F910FE"/>
    <w:rsid w:val="00F950F8"/>
    <w:rsid w:val="00F95868"/>
    <w:rsid w:val="00F961AC"/>
    <w:rsid w:val="00F966BA"/>
    <w:rsid w:val="00F96E2A"/>
    <w:rsid w:val="00F971C9"/>
    <w:rsid w:val="00FA0DEF"/>
    <w:rsid w:val="00FA1E53"/>
    <w:rsid w:val="00FA39B6"/>
    <w:rsid w:val="00FA6414"/>
    <w:rsid w:val="00FA6F24"/>
    <w:rsid w:val="00FA76D6"/>
    <w:rsid w:val="00FB092E"/>
    <w:rsid w:val="00FB0B72"/>
    <w:rsid w:val="00FB31A7"/>
    <w:rsid w:val="00FB38CC"/>
    <w:rsid w:val="00FB46EB"/>
    <w:rsid w:val="00FB6FA6"/>
    <w:rsid w:val="00FB7182"/>
    <w:rsid w:val="00FB768F"/>
    <w:rsid w:val="00FC2CAB"/>
    <w:rsid w:val="00FC39C6"/>
    <w:rsid w:val="00FC4040"/>
    <w:rsid w:val="00FC4293"/>
    <w:rsid w:val="00FC673A"/>
    <w:rsid w:val="00FD066E"/>
    <w:rsid w:val="00FD170D"/>
    <w:rsid w:val="00FD3371"/>
    <w:rsid w:val="00FD3F3D"/>
    <w:rsid w:val="00FD6561"/>
    <w:rsid w:val="00FD68CD"/>
    <w:rsid w:val="00FD6C06"/>
    <w:rsid w:val="00FD6F21"/>
    <w:rsid w:val="00FD7366"/>
    <w:rsid w:val="00FD79C9"/>
    <w:rsid w:val="00FD7BFF"/>
    <w:rsid w:val="00FE00DC"/>
    <w:rsid w:val="00FE2AAB"/>
    <w:rsid w:val="00FE4665"/>
    <w:rsid w:val="00FF01E5"/>
    <w:rsid w:val="00FF1BC8"/>
    <w:rsid w:val="00FF32CD"/>
    <w:rsid w:val="00FF4108"/>
    <w:rsid w:val="00FF5CB9"/>
    <w:rsid w:val="00FF5CEE"/>
    <w:rsid w:val="00FF7DB7"/>
    <w:rsid w:val="056775AF"/>
    <w:rsid w:val="09C1778E"/>
    <w:rsid w:val="0B6F074F"/>
    <w:rsid w:val="15B33927"/>
    <w:rsid w:val="23690DDF"/>
    <w:rsid w:val="26EA4592"/>
    <w:rsid w:val="28EE0372"/>
    <w:rsid w:val="2E7B0029"/>
    <w:rsid w:val="40843ED6"/>
    <w:rsid w:val="47220B77"/>
    <w:rsid w:val="47F82BF0"/>
    <w:rsid w:val="49E01D47"/>
    <w:rsid w:val="4C4A7B51"/>
    <w:rsid w:val="56131FF3"/>
    <w:rsid w:val="5C160815"/>
    <w:rsid w:val="5FE551C6"/>
    <w:rsid w:val="654A1715"/>
    <w:rsid w:val="66385942"/>
    <w:rsid w:val="73C75A5C"/>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5"/>
    <w:semiHidden/>
    <w:unhideWhenUsed/>
    <w:qFormat/>
    <w:uiPriority w:val="99"/>
    <w:pPr>
      <w:spacing w:after="0" w:line="240" w:lineRule="auto"/>
    </w:pPr>
    <w:rPr>
      <w:rFonts w:ascii="Tahoma" w:hAnsi="Tahoma" w:cs="Tahoma"/>
      <w:sz w:val="16"/>
      <w:szCs w:val="16"/>
    </w:rPr>
  </w:style>
  <w:style w:type="paragraph" w:styleId="5">
    <w:name w:val="header"/>
    <w:basedOn w:val="1"/>
    <w:link w:val="28"/>
    <w:unhideWhenUsed/>
    <w:qFormat/>
    <w:uiPriority w:val="99"/>
    <w:pPr>
      <w:tabs>
        <w:tab w:val="center" w:pos="4677"/>
        <w:tab w:val="right" w:pos="9355"/>
      </w:tabs>
      <w:spacing w:after="0" w:line="240" w:lineRule="auto"/>
    </w:pPr>
  </w:style>
  <w:style w:type="paragraph" w:styleId="6">
    <w:name w:val="footer"/>
    <w:basedOn w:val="1"/>
    <w:link w:val="29"/>
    <w:unhideWhenUsed/>
    <w:qFormat/>
    <w:uiPriority w:val="99"/>
    <w:pPr>
      <w:tabs>
        <w:tab w:val="center" w:pos="4677"/>
        <w:tab w:val="right" w:pos="9355"/>
      </w:tabs>
      <w:spacing w:after="0" w:line="240" w:lineRule="auto"/>
    </w:pPr>
  </w:style>
  <w:style w:type="table" w:styleId="7">
    <w:name w:val="Table Grid"/>
    <w:basedOn w:val="3"/>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ConsPlusNormal"/>
    <w:qFormat/>
    <w:uiPriority w:val="0"/>
    <w:pPr>
      <w:widowControl w:val="0"/>
      <w:autoSpaceDE w:val="0"/>
      <w:autoSpaceDN w:val="0"/>
      <w:spacing w:after="0" w:line="240" w:lineRule="auto"/>
    </w:pPr>
    <w:rPr>
      <w:rFonts w:ascii="Calibri" w:hAnsi="Calibri" w:eastAsia="Times New Roman" w:cs="Calibri"/>
      <w:sz w:val="22"/>
      <w:szCs w:val="20"/>
      <w:lang w:val="ru-RU" w:eastAsia="ru-RU" w:bidi="ar-SA"/>
    </w:rPr>
  </w:style>
  <w:style w:type="paragraph" w:customStyle="1" w:styleId="9">
    <w:name w:val="ConsPlusNonformat"/>
    <w:qFormat/>
    <w:uiPriority w:val="0"/>
    <w:pPr>
      <w:widowControl w:val="0"/>
      <w:autoSpaceDE w:val="0"/>
      <w:autoSpaceDN w:val="0"/>
      <w:spacing w:after="0" w:line="240" w:lineRule="auto"/>
    </w:pPr>
    <w:rPr>
      <w:rFonts w:ascii="Courier New" w:hAnsi="Courier New" w:eastAsia="Times New Roman" w:cs="Courier New"/>
      <w:sz w:val="20"/>
      <w:szCs w:val="20"/>
      <w:lang w:val="ru-RU" w:eastAsia="ru-RU" w:bidi="ar-SA"/>
    </w:rPr>
  </w:style>
  <w:style w:type="paragraph" w:customStyle="1" w:styleId="10">
    <w:name w:val="ConsPlusTitle"/>
    <w:qFormat/>
    <w:uiPriority w:val="0"/>
    <w:pPr>
      <w:widowControl w:val="0"/>
      <w:autoSpaceDE w:val="0"/>
      <w:autoSpaceDN w:val="0"/>
      <w:spacing w:after="0" w:line="240" w:lineRule="auto"/>
    </w:pPr>
    <w:rPr>
      <w:rFonts w:ascii="Calibri" w:hAnsi="Calibri" w:eastAsia="Times New Roman" w:cs="Calibri"/>
      <w:b/>
      <w:sz w:val="22"/>
      <w:szCs w:val="20"/>
      <w:lang w:val="ru-RU" w:eastAsia="ru-RU" w:bidi="ar-SA"/>
    </w:rPr>
  </w:style>
  <w:style w:type="paragraph" w:customStyle="1" w:styleId="11">
    <w:name w:val="ConsPlusCell"/>
    <w:qFormat/>
    <w:uiPriority w:val="0"/>
    <w:pPr>
      <w:widowControl w:val="0"/>
      <w:autoSpaceDE w:val="0"/>
      <w:autoSpaceDN w:val="0"/>
      <w:spacing w:after="0" w:line="240" w:lineRule="auto"/>
    </w:pPr>
    <w:rPr>
      <w:rFonts w:ascii="Courier New" w:hAnsi="Courier New" w:eastAsia="Times New Roman" w:cs="Courier New"/>
      <w:sz w:val="20"/>
      <w:szCs w:val="20"/>
      <w:lang w:val="ru-RU" w:eastAsia="ru-RU" w:bidi="ar-SA"/>
    </w:rPr>
  </w:style>
  <w:style w:type="paragraph" w:customStyle="1" w:styleId="12">
    <w:name w:val="ConsPlusDocList"/>
    <w:qFormat/>
    <w:uiPriority w:val="0"/>
    <w:pPr>
      <w:widowControl w:val="0"/>
      <w:autoSpaceDE w:val="0"/>
      <w:autoSpaceDN w:val="0"/>
      <w:spacing w:after="0" w:line="240" w:lineRule="auto"/>
    </w:pPr>
    <w:rPr>
      <w:rFonts w:ascii="Courier New" w:hAnsi="Courier New" w:eastAsia="Times New Roman" w:cs="Courier New"/>
      <w:sz w:val="20"/>
      <w:szCs w:val="20"/>
      <w:lang w:val="ru-RU" w:eastAsia="ru-RU" w:bidi="ar-SA"/>
    </w:rPr>
  </w:style>
  <w:style w:type="paragraph" w:customStyle="1" w:styleId="13">
    <w:name w:val="ConsPlusTitlePage"/>
    <w:qFormat/>
    <w:uiPriority w:val="0"/>
    <w:pPr>
      <w:widowControl w:val="0"/>
      <w:autoSpaceDE w:val="0"/>
      <w:autoSpaceDN w:val="0"/>
      <w:spacing w:after="0" w:line="240" w:lineRule="auto"/>
    </w:pPr>
    <w:rPr>
      <w:rFonts w:ascii="Tahoma" w:hAnsi="Tahoma" w:eastAsia="Times New Roman" w:cs="Tahoma"/>
      <w:sz w:val="20"/>
      <w:szCs w:val="20"/>
      <w:lang w:val="ru-RU" w:eastAsia="ru-RU" w:bidi="ar-SA"/>
    </w:rPr>
  </w:style>
  <w:style w:type="paragraph" w:customStyle="1" w:styleId="14">
    <w:name w:val="ConsPlusJurTerm"/>
    <w:qFormat/>
    <w:uiPriority w:val="0"/>
    <w:pPr>
      <w:widowControl w:val="0"/>
      <w:autoSpaceDE w:val="0"/>
      <w:autoSpaceDN w:val="0"/>
      <w:spacing w:after="0" w:line="240" w:lineRule="auto"/>
    </w:pPr>
    <w:rPr>
      <w:rFonts w:ascii="Tahoma" w:hAnsi="Tahoma" w:eastAsia="Times New Roman" w:cs="Tahoma"/>
      <w:sz w:val="26"/>
      <w:szCs w:val="20"/>
      <w:lang w:val="ru-RU" w:eastAsia="ru-RU" w:bidi="ar-SA"/>
    </w:rPr>
  </w:style>
  <w:style w:type="character" w:customStyle="1" w:styleId="15">
    <w:name w:val="Текст выноски Знак"/>
    <w:basedOn w:val="2"/>
    <w:link w:val="4"/>
    <w:semiHidden/>
    <w:qFormat/>
    <w:uiPriority w:val="99"/>
    <w:rPr>
      <w:rFonts w:ascii="Tahoma" w:hAnsi="Tahoma" w:cs="Tahoma"/>
      <w:sz w:val="16"/>
      <w:szCs w:val="16"/>
    </w:rPr>
  </w:style>
  <w:style w:type="character" w:styleId="16">
    <w:name w:val="Placeholder Text"/>
    <w:basedOn w:val="2"/>
    <w:semiHidden/>
    <w:qFormat/>
    <w:uiPriority w:val="99"/>
    <w:rPr>
      <w:color w:val="808080"/>
    </w:rPr>
  </w:style>
  <w:style w:type="paragraph" w:styleId="17">
    <w:name w:val="List Paragraph"/>
    <w:basedOn w:val="1"/>
    <w:qFormat/>
    <w:uiPriority w:val="34"/>
    <w:pPr>
      <w:ind w:left="720"/>
      <w:contextualSpacing/>
    </w:pPr>
  </w:style>
  <w:style w:type="paragraph" w:customStyle="1" w:styleId="18">
    <w:name w:val="Style11"/>
    <w:basedOn w:val="1"/>
    <w:qFormat/>
    <w:uiPriority w:val="99"/>
    <w:pPr>
      <w:widowControl w:val="0"/>
      <w:autoSpaceDE w:val="0"/>
      <w:autoSpaceDN w:val="0"/>
      <w:adjustRightInd w:val="0"/>
      <w:spacing w:after="0" w:line="230" w:lineRule="exact"/>
      <w:jc w:val="right"/>
    </w:pPr>
    <w:rPr>
      <w:rFonts w:ascii="Times New Roman" w:hAnsi="Times New Roman" w:cs="Times New Roman" w:eastAsiaTheme="minorEastAsia"/>
      <w:sz w:val="24"/>
      <w:szCs w:val="24"/>
      <w:lang w:eastAsia="ru-RU"/>
    </w:rPr>
  </w:style>
  <w:style w:type="paragraph" w:customStyle="1" w:styleId="19">
    <w:name w:val="Style14"/>
    <w:basedOn w:val="1"/>
    <w:qFormat/>
    <w:uiPriority w:val="99"/>
    <w:pPr>
      <w:widowControl w:val="0"/>
      <w:autoSpaceDE w:val="0"/>
      <w:autoSpaceDN w:val="0"/>
      <w:adjustRightInd w:val="0"/>
      <w:spacing w:after="0" w:line="274" w:lineRule="exact"/>
      <w:jc w:val="center"/>
    </w:pPr>
    <w:rPr>
      <w:rFonts w:ascii="Times New Roman" w:hAnsi="Times New Roman" w:cs="Times New Roman" w:eastAsiaTheme="minorEastAsia"/>
      <w:sz w:val="24"/>
      <w:szCs w:val="24"/>
      <w:lang w:eastAsia="ru-RU"/>
    </w:rPr>
  </w:style>
  <w:style w:type="paragraph" w:customStyle="1" w:styleId="20">
    <w:name w:val="Style18"/>
    <w:basedOn w:val="1"/>
    <w:qFormat/>
    <w:uiPriority w:val="99"/>
    <w:pPr>
      <w:widowControl w:val="0"/>
      <w:autoSpaceDE w:val="0"/>
      <w:autoSpaceDN w:val="0"/>
      <w:adjustRightInd w:val="0"/>
      <w:spacing w:after="0" w:line="240" w:lineRule="auto"/>
      <w:jc w:val="center"/>
    </w:pPr>
    <w:rPr>
      <w:rFonts w:ascii="Times New Roman" w:hAnsi="Times New Roman" w:cs="Times New Roman" w:eastAsiaTheme="minorEastAsia"/>
      <w:sz w:val="24"/>
      <w:szCs w:val="24"/>
      <w:lang w:eastAsia="ru-RU"/>
    </w:rPr>
  </w:style>
  <w:style w:type="paragraph" w:customStyle="1" w:styleId="21">
    <w:name w:val="Style19"/>
    <w:basedOn w:val="1"/>
    <w:qFormat/>
    <w:uiPriority w:val="99"/>
    <w:pPr>
      <w:widowControl w:val="0"/>
      <w:autoSpaceDE w:val="0"/>
      <w:autoSpaceDN w:val="0"/>
      <w:adjustRightInd w:val="0"/>
      <w:spacing w:after="0" w:line="240" w:lineRule="auto"/>
    </w:pPr>
    <w:rPr>
      <w:rFonts w:ascii="Times New Roman" w:hAnsi="Times New Roman" w:cs="Times New Roman" w:eastAsiaTheme="minorEastAsia"/>
      <w:sz w:val="24"/>
      <w:szCs w:val="24"/>
      <w:lang w:eastAsia="ru-RU"/>
    </w:rPr>
  </w:style>
  <w:style w:type="paragraph" w:customStyle="1" w:styleId="22">
    <w:name w:val="Style25"/>
    <w:basedOn w:val="1"/>
    <w:qFormat/>
    <w:uiPriority w:val="99"/>
    <w:pPr>
      <w:widowControl w:val="0"/>
      <w:autoSpaceDE w:val="0"/>
      <w:autoSpaceDN w:val="0"/>
      <w:adjustRightInd w:val="0"/>
      <w:spacing w:after="0" w:line="240" w:lineRule="auto"/>
    </w:pPr>
    <w:rPr>
      <w:rFonts w:ascii="Times New Roman" w:hAnsi="Times New Roman" w:cs="Times New Roman" w:eastAsiaTheme="minorEastAsia"/>
      <w:sz w:val="24"/>
      <w:szCs w:val="24"/>
      <w:lang w:eastAsia="ru-RU"/>
    </w:rPr>
  </w:style>
  <w:style w:type="paragraph" w:customStyle="1" w:styleId="23">
    <w:name w:val="Style31"/>
    <w:basedOn w:val="1"/>
    <w:qFormat/>
    <w:uiPriority w:val="99"/>
    <w:pPr>
      <w:widowControl w:val="0"/>
      <w:autoSpaceDE w:val="0"/>
      <w:autoSpaceDN w:val="0"/>
      <w:adjustRightInd w:val="0"/>
      <w:spacing w:after="0" w:line="274" w:lineRule="exact"/>
      <w:ind w:hanging="634"/>
    </w:pPr>
    <w:rPr>
      <w:rFonts w:ascii="Times New Roman" w:hAnsi="Times New Roman" w:cs="Times New Roman" w:eastAsiaTheme="minorEastAsia"/>
      <w:sz w:val="24"/>
      <w:szCs w:val="24"/>
      <w:lang w:eastAsia="ru-RU"/>
    </w:rPr>
  </w:style>
  <w:style w:type="paragraph" w:customStyle="1" w:styleId="24">
    <w:name w:val="Style35"/>
    <w:basedOn w:val="1"/>
    <w:qFormat/>
    <w:uiPriority w:val="99"/>
    <w:pPr>
      <w:widowControl w:val="0"/>
      <w:autoSpaceDE w:val="0"/>
      <w:autoSpaceDN w:val="0"/>
      <w:adjustRightInd w:val="0"/>
      <w:spacing w:after="0" w:line="240" w:lineRule="auto"/>
      <w:jc w:val="center"/>
    </w:pPr>
    <w:rPr>
      <w:rFonts w:ascii="Times New Roman" w:hAnsi="Times New Roman" w:cs="Times New Roman" w:eastAsiaTheme="minorEastAsia"/>
      <w:sz w:val="24"/>
      <w:szCs w:val="24"/>
      <w:lang w:eastAsia="ru-RU"/>
    </w:rPr>
  </w:style>
  <w:style w:type="character" w:customStyle="1" w:styleId="25">
    <w:name w:val="Font Style51"/>
    <w:basedOn w:val="2"/>
    <w:qFormat/>
    <w:uiPriority w:val="99"/>
    <w:rPr>
      <w:rFonts w:ascii="Times New Roman" w:hAnsi="Times New Roman" w:cs="Times New Roman"/>
      <w:b/>
      <w:bCs/>
      <w:spacing w:val="-10"/>
      <w:sz w:val="24"/>
      <w:szCs w:val="24"/>
    </w:rPr>
  </w:style>
  <w:style w:type="character" w:customStyle="1" w:styleId="26">
    <w:name w:val="Font Style60"/>
    <w:basedOn w:val="2"/>
    <w:qFormat/>
    <w:uiPriority w:val="99"/>
    <w:rPr>
      <w:rFonts w:ascii="Times New Roman" w:hAnsi="Times New Roman" w:cs="Times New Roman"/>
      <w:b/>
      <w:bCs/>
      <w:sz w:val="18"/>
      <w:szCs w:val="18"/>
    </w:rPr>
  </w:style>
  <w:style w:type="character" w:customStyle="1" w:styleId="27">
    <w:name w:val="Font Style61"/>
    <w:basedOn w:val="2"/>
    <w:qFormat/>
    <w:uiPriority w:val="99"/>
    <w:rPr>
      <w:rFonts w:ascii="Georgia" w:hAnsi="Georgia" w:cs="Georgia"/>
      <w:sz w:val="16"/>
      <w:szCs w:val="16"/>
    </w:rPr>
  </w:style>
  <w:style w:type="character" w:customStyle="1" w:styleId="28">
    <w:name w:val="Верхний колонтитул Знак"/>
    <w:basedOn w:val="2"/>
    <w:link w:val="5"/>
    <w:qFormat/>
    <w:uiPriority w:val="99"/>
  </w:style>
  <w:style w:type="character" w:customStyle="1" w:styleId="29">
    <w:name w:val="Нижний колонтитул Знак"/>
    <w:basedOn w:val="2"/>
    <w:link w:val="6"/>
    <w:qFormat/>
    <w:uiPriority w:val="99"/>
  </w:style>
  <w:style w:type="paragraph" w:customStyle="1" w:styleId="30">
    <w:name w:val="Style2"/>
    <w:basedOn w:val="1"/>
    <w:qFormat/>
    <w:uiPriority w:val="0"/>
    <w:pPr>
      <w:widowControl w:val="0"/>
      <w:autoSpaceDE w:val="0"/>
      <w:autoSpaceDN w:val="0"/>
      <w:adjustRightInd w:val="0"/>
      <w:spacing w:after="0" w:line="256" w:lineRule="auto"/>
    </w:pPr>
    <w:rPr>
      <w:rFonts w:ascii="Arial" w:hAnsi="Arial" w:eastAsia="Times New Roman" w:cs="Arial"/>
      <w:sz w:val="24"/>
      <w:szCs w:val="24"/>
      <w:lang w:eastAsia="ru-RU"/>
    </w:rPr>
  </w:style>
  <w:style w:type="character" w:customStyle="1" w:styleId="31">
    <w:name w:val="Font Style11"/>
    <w:qFormat/>
    <w:uiPriority w:val="0"/>
    <w:rPr>
      <w:rFonts w:hint="default" w:ascii="Arial" w:hAnsi="Arial" w:cs="Arial"/>
      <w:sz w:val="36"/>
      <w:szCs w:val="36"/>
    </w:rPr>
  </w:style>
  <w:style w:type="paragraph" w:customStyle="1" w:styleId="32">
    <w:name w:val="Style3"/>
    <w:basedOn w:val="1"/>
    <w:qFormat/>
    <w:uiPriority w:val="0"/>
    <w:pPr>
      <w:widowControl w:val="0"/>
      <w:autoSpaceDE w:val="0"/>
      <w:autoSpaceDN w:val="0"/>
      <w:adjustRightInd w:val="0"/>
      <w:spacing w:after="0" w:line="451" w:lineRule="exact"/>
    </w:pPr>
    <w:rPr>
      <w:rFonts w:ascii="Arial" w:hAnsi="Arial" w:eastAsia="Times New Roman" w:cs="Arial"/>
      <w:sz w:val="24"/>
      <w:szCs w:val="24"/>
      <w:lang w:eastAsia="ru-RU"/>
    </w:rPr>
  </w:style>
  <w:style w:type="character" w:customStyle="1" w:styleId="33">
    <w:name w:val="Font Style12"/>
    <w:qFormat/>
    <w:uiPriority w:val="0"/>
    <w:rPr>
      <w:rFonts w:ascii="Times New Roman" w:hAnsi="Times New Roman" w:cs="Times New Roman"/>
      <w:sz w:val="20"/>
      <w:szCs w:val="20"/>
    </w:rPr>
  </w:style>
  <w:style w:type="paragraph" w:customStyle="1" w:styleId="34">
    <w:name w:val="Style4"/>
    <w:basedOn w:val="1"/>
    <w:qFormat/>
    <w:uiPriority w:val="0"/>
    <w:pPr>
      <w:widowControl w:val="0"/>
      <w:autoSpaceDE w:val="0"/>
      <w:autoSpaceDN w:val="0"/>
      <w:adjustRightInd w:val="0"/>
      <w:spacing w:after="0" w:line="242" w:lineRule="exact"/>
    </w:pPr>
    <w:rPr>
      <w:rFonts w:ascii="Times New Roman" w:hAnsi="Times New Roman" w:eastAsia="Times New Roman" w:cs="Times New Roman"/>
      <w:sz w:val="24"/>
      <w:szCs w:val="24"/>
      <w:lang w:eastAsia="ru-RU"/>
    </w:rPr>
  </w:style>
  <w:style w:type="table" w:customStyle="1" w:styleId="35">
    <w:name w:val="Сетка таблицы3"/>
    <w:basedOn w:val="3"/>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6">
    <w:name w:val="Сетка таблицы1"/>
    <w:basedOn w:val="3"/>
    <w:qFormat/>
    <w:uiPriority w:val="59"/>
    <w:pPr>
      <w:spacing w:after="0" w:line="240" w:lineRule="auto"/>
    </w:pPr>
    <w:rPr>
      <w:rFonts w:ascii="Times New Roman" w:hAnsi="Times New Roman" w:eastAsia="Calibri" w:cs="Times New Roman"/>
      <w:sz w:val="28"/>
      <w:szCs w:val="2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7">
    <w:name w:val="Сетка таблицы2"/>
    <w:basedOn w:val="3"/>
    <w:qFormat/>
    <w:uiPriority w:val="39"/>
    <w:pPr>
      <w:spacing w:after="0" w:line="240" w:lineRule="auto"/>
    </w:pPr>
    <w:rPr>
      <w:rFonts w:ascii="Cambria Math" w:hAnsi="Cambria Math" w:cs="Times New Roman"/>
      <w:sz w:val="28"/>
      <w:szCs w:val="2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8">
    <w:name w:val="Сетка таблицы31"/>
    <w:basedOn w:val="3"/>
    <w:qFormat/>
    <w:uiPriority w:val="39"/>
    <w:pPr>
      <w:spacing w:after="0" w:line="240" w:lineRule="auto"/>
    </w:pPr>
    <w:rPr>
      <w:rFonts w:ascii="Cambria Math" w:hAnsi="Cambria Math" w:cs="Times New Roman"/>
      <w:sz w:val="28"/>
      <w:szCs w:val="2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9">
    <w:name w:val="Сетка таблицы11"/>
    <w:basedOn w:val="3"/>
    <w:qFormat/>
    <w:uiPriority w:val="59"/>
    <w:pPr>
      <w:spacing w:after="0" w:line="240" w:lineRule="auto"/>
    </w:pPr>
    <w:rPr>
      <w:rFonts w:ascii="Times New Roman" w:hAnsi="Times New Roman" w:eastAsia="Calibri" w:cs="Times New Roman"/>
      <w:sz w:val="28"/>
      <w:szCs w:val="2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0">
    <w:name w:val="Сетка таблицы5"/>
    <w:basedOn w:val="3"/>
    <w:qFormat/>
    <w:uiPriority w:val="59"/>
    <w:pPr>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
    <w:name w:val="Сетка таблицы7"/>
    <w:basedOn w:val="3"/>
    <w:qFormat/>
    <w:uiPriority w:val="59"/>
    <w:pPr>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42">
    <w:name w:val="No Spacing"/>
    <w:qFormat/>
    <w:uiPriority w:val="1"/>
    <w:pPr>
      <w:spacing w:after="0" w:line="240" w:lineRule="auto"/>
    </w:pPr>
    <w:rPr>
      <w:rFonts w:asciiTheme="minorHAnsi" w:hAnsiTheme="minorHAnsi" w:eastAsiaTheme="minorHAnsi" w:cstheme="minorBidi"/>
      <w:sz w:val="22"/>
      <w:szCs w:val="22"/>
      <w:lang w:val="ru-RU" w:eastAsia="en-US" w:bidi="ar-SA"/>
    </w:rPr>
  </w:style>
  <w:style w:type="table" w:customStyle="1" w:styleId="43">
    <w:name w:val="Сетка таблицы71"/>
    <w:basedOn w:val="3"/>
    <w:qFormat/>
    <w:uiPriority w:val="59"/>
    <w:pPr>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4">
    <w:name w:val="Абзац1 c отступом"/>
    <w:basedOn w:val="1"/>
    <w:qFormat/>
    <w:uiPriority w:val="0"/>
    <w:pPr>
      <w:suppressAutoHyphens/>
      <w:spacing w:after="60" w:line="360" w:lineRule="exact"/>
      <w:ind w:firstLine="709"/>
      <w:jc w:val="both"/>
    </w:pPr>
    <w:rPr>
      <w:rFonts w:ascii="Times New Roman" w:hAnsi="Times New Roman" w:eastAsia="Times New Roman" w:cs="Times New Roman"/>
      <w:sz w:val="28"/>
      <w:szCs w:val="20"/>
      <w:lang w:eastAsia="zh-CN"/>
    </w:rPr>
  </w:style>
</w:styles>
</file>

<file path=word/_rels/document.xml.rels><?xml version="1.0" encoding="UTF-8" standalone="yes"?>
<Relationships xmlns="http://schemas.openxmlformats.org/package/2006/relationships"><Relationship Id="rId99" Type="http://schemas.openxmlformats.org/officeDocument/2006/relationships/image" Target="media/image91.wmf"/><Relationship Id="rId98" Type="http://schemas.openxmlformats.org/officeDocument/2006/relationships/image" Target="media/image90.wmf"/><Relationship Id="rId97" Type="http://schemas.openxmlformats.org/officeDocument/2006/relationships/image" Target="media/image89.wmf"/><Relationship Id="rId96" Type="http://schemas.openxmlformats.org/officeDocument/2006/relationships/image" Target="media/image88.wmf"/><Relationship Id="rId95" Type="http://schemas.openxmlformats.org/officeDocument/2006/relationships/image" Target="media/image87.wmf"/><Relationship Id="rId94" Type="http://schemas.openxmlformats.org/officeDocument/2006/relationships/image" Target="media/image86.wmf"/><Relationship Id="rId93" Type="http://schemas.openxmlformats.org/officeDocument/2006/relationships/image" Target="media/image85.wmf"/><Relationship Id="rId92" Type="http://schemas.openxmlformats.org/officeDocument/2006/relationships/image" Target="media/image84.wmf"/><Relationship Id="rId91" Type="http://schemas.openxmlformats.org/officeDocument/2006/relationships/image" Target="media/image83.wmf"/><Relationship Id="rId90" Type="http://schemas.openxmlformats.org/officeDocument/2006/relationships/image" Target="media/image82.wmf"/><Relationship Id="rId9" Type="http://schemas.openxmlformats.org/officeDocument/2006/relationships/image" Target="media/image1.wmf"/><Relationship Id="rId89" Type="http://schemas.openxmlformats.org/officeDocument/2006/relationships/image" Target="media/image81.wmf"/><Relationship Id="rId88" Type="http://schemas.openxmlformats.org/officeDocument/2006/relationships/image" Target="media/image80.wmf"/><Relationship Id="rId87" Type="http://schemas.openxmlformats.org/officeDocument/2006/relationships/image" Target="media/image79.wmf"/><Relationship Id="rId86" Type="http://schemas.openxmlformats.org/officeDocument/2006/relationships/image" Target="media/image78.wmf"/><Relationship Id="rId85" Type="http://schemas.openxmlformats.org/officeDocument/2006/relationships/image" Target="media/image77.wmf"/><Relationship Id="rId84" Type="http://schemas.openxmlformats.org/officeDocument/2006/relationships/image" Target="media/image76.wmf"/><Relationship Id="rId83" Type="http://schemas.openxmlformats.org/officeDocument/2006/relationships/image" Target="media/image75.wmf"/><Relationship Id="rId82" Type="http://schemas.openxmlformats.org/officeDocument/2006/relationships/image" Target="media/image74.wmf"/><Relationship Id="rId81" Type="http://schemas.openxmlformats.org/officeDocument/2006/relationships/image" Target="media/image73.wmf"/><Relationship Id="rId80" Type="http://schemas.openxmlformats.org/officeDocument/2006/relationships/image" Target="media/image72.wmf"/><Relationship Id="rId8" Type="http://schemas.openxmlformats.org/officeDocument/2006/relationships/theme" Target="theme/theme1.xml"/><Relationship Id="rId79" Type="http://schemas.openxmlformats.org/officeDocument/2006/relationships/image" Target="media/image71.wmf"/><Relationship Id="rId78" Type="http://schemas.openxmlformats.org/officeDocument/2006/relationships/image" Target="media/image70.wmf"/><Relationship Id="rId77" Type="http://schemas.openxmlformats.org/officeDocument/2006/relationships/image" Target="media/image69.wmf"/><Relationship Id="rId76" Type="http://schemas.openxmlformats.org/officeDocument/2006/relationships/image" Target="media/image68.wmf"/><Relationship Id="rId75" Type="http://schemas.openxmlformats.org/officeDocument/2006/relationships/image" Target="media/image67.wmf"/><Relationship Id="rId74" Type="http://schemas.openxmlformats.org/officeDocument/2006/relationships/image" Target="media/image66.wmf"/><Relationship Id="rId73" Type="http://schemas.openxmlformats.org/officeDocument/2006/relationships/image" Target="media/image65.wmf"/><Relationship Id="rId72" Type="http://schemas.openxmlformats.org/officeDocument/2006/relationships/image" Target="media/image64.wmf"/><Relationship Id="rId71" Type="http://schemas.openxmlformats.org/officeDocument/2006/relationships/image" Target="media/image63.wmf"/><Relationship Id="rId70" Type="http://schemas.openxmlformats.org/officeDocument/2006/relationships/image" Target="media/image62.wmf"/><Relationship Id="rId7" Type="http://schemas.openxmlformats.org/officeDocument/2006/relationships/header" Target="header3.xml"/><Relationship Id="rId69" Type="http://schemas.openxmlformats.org/officeDocument/2006/relationships/image" Target="media/image61.wmf"/><Relationship Id="rId68" Type="http://schemas.openxmlformats.org/officeDocument/2006/relationships/image" Target="media/image60.wmf"/><Relationship Id="rId67" Type="http://schemas.openxmlformats.org/officeDocument/2006/relationships/image" Target="media/image59.wmf"/><Relationship Id="rId66" Type="http://schemas.openxmlformats.org/officeDocument/2006/relationships/image" Target="media/image58.wmf"/><Relationship Id="rId65" Type="http://schemas.openxmlformats.org/officeDocument/2006/relationships/image" Target="media/image57.wmf"/><Relationship Id="rId64" Type="http://schemas.openxmlformats.org/officeDocument/2006/relationships/image" Target="media/image56.wmf"/><Relationship Id="rId63" Type="http://schemas.openxmlformats.org/officeDocument/2006/relationships/image" Target="media/image55.wmf"/><Relationship Id="rId62" Type="http://schemas.openxmlformats.org/officeDocument/2006/relationships/image" Target="media/image54.wmf"/><Relationship Id="rId61" Type="http://schemas.openxmlformats.org/officeDocument/2006/relationships/image" Target="media/image53.wmf"/><Relationship Id="rId60" Type="http://schemas.openxmlformats.org/officeDocument/2006/relationships/image" Target="media/image52.wmf"/><Relationship Id="rId6" Type="http://schemas.openxmlformats.org/officeDocument/2006/relationships/header" Target="header2.xml"/><Relationship Id="rId59" Type="http://schemas.openxmlformats.org/officeDocument/2006/relationships/image" Target="media/image51.wmf"/><Relationship Id="rId58" Type="http://schemas.openxmlformats.org/officeDocument/2006/relationships/image" Target="media/image50.wmf"/><Relationship Id="rId57" Type="http://schemas.openxmlformats.org/officeDocument/2006/relationships/image" Target="media/image49.wmf"/><Relationship Id="rId56" Type="http://schemas.openxmlformats.org/officeDocument/2006/relationships/image" Target="media/image48.wmf"/><Relationship Id="rId55" Type="http://schemas.openxmlformats.org/officeDocument/2006/relationships/image" Target="media/image47.wmf"/><Relationship Id="rId54" Type="http://schemas.openxmlformats.org/officeDocument/2006/relationships/image" Target="media/image46.wmf"/><Relationship Id="rId53" Type="http://schemas.openxmlformats.org/officeDocument/2006/relationships/image" Target="media/image45.wmf"/><Relationship Id="rId52" Type="http://schemas.openxmlformats.org/officeDocument/2006/relationships/image" Target="media/image44.wmf"/><Relationship Id="rId51" Type="http://schemas.openxmlformats.org/officeDocument/2006/relationships/image" Target="media/image43.wmf"/><Relationship Id="rId50" Type="http://schemas.openxmlformats.org/officeDocument/2006/relationships/image" Target="media/image42.wmf"/><Relationship Id="rId5" Type="http://schemas.openxmlformats.org/officeDocument/2006/relationships/header" Target="header1.xml"/><Relationship Id="rId49" Type="http://schemas.openxmlformats.org/officeDocument/2006/relationships/image" Target="media/image41.wmf"/><Relationship Id="rId48" Type="http://schemas.openxmlformats.org/officeDocument/2006/relationships/image" Target="media/image40.wmf"/><Relationship Id="rId47" Type="http://schemas.openxmlformats.org/officeDocument/2006/relationships/image" Target="media/image39.wmf"/><Relationship Id="rId46" Type="http://schemas.openxmlformats.org/officeDocument/2006/relationships/image" Target="media/image38.wmf"/><Relationship Id="rId45" Type="http://schemas.openxmlformats.org/officeDocument/2006/relationships/image" Target="media/image37.wmf"/><Relationship Id="rId44" Type="http://schemas.openxmlformats.org/officeDocument/2006/relationships/image" Target="media/image36.wmf"/><Relationship Id="rId43" Type="http://schemas.openxmlformats.org/officeDocument/2006/relationships/image" Target="media/image35.wmf"/><Relationship Id="rId42" Type="http://schemas.openxmlformats.org/officeDocument/2006/relationships/image" Target="media/image34.wmf"/><Relationship Id="rId41" Type="http://schemas.openxmlformats.org/officeDocument/2006/relationships/image" Target="media/image33.wmf"/><Relationship Id="rId40" Type="http://schemas.openxmlformats.org/officeDocument/2006/relationships/image" Target="media/image32.wmf"/><Relationship Id="rId4" Type="http://schemas.openxmlformats.org/officeDocument/2006/relationships/endnotes" Target="endnotes.xml"/><Relationship Id="rId39" Type="http://schemas.openxmlformats.org/officeDocument/2006/relationships/image" Target="media/image31.wmf"/><Relationship Id="rId38" Type="http://schemas.openxmlformats.org/officeDocument/2006/relationships/image" Target="media/image30.wmf"/><Relationship Id="rId37" Type="http://schemas.openxmlformats.org/officeDocument/2006/relationships/image" Target="media/image29.wmf"/><Relationship Id="rId36" Type="http://schemas.openxmlformats.org/officeDocument/2006/relationships/image" Target="media/image28.wmf"/><Relationship Id="rId35" Type="http://schemas.openxmlformats.org/officeDocument/2006/relationships/image" Target="media/image27.wmf"/><Relationship Id="rId34" Type="http://schemas.openxmlformats.org/officeDocument/2006/relationships/image" Target="media/image26.wmf"/><Relationship Id="rId33" Type="http://schemas.openxmlformats.org/officeDocument/2006/relationships/image" Target="media/image25.wmf"/><Relationship Id="rId32" Type="http://schemas.openxmlformats.org/officeDocument/2006/relationships/image" Target="media/image24.wmf"/><Relationship Id="rId31" Type="http://schemas.openxmlformats.org/officeDocument/2006/relationships/image" Target="media/image23.wmf"/><Relationship Id="rId30" Type="http://schemas.openxmlformats.org/officeDocument/2006/relationships/image" Target="media/image22.wmf"/><Relationship Id="rId3" Type="http://schemas.openxmlformats.org/officeDocument/2006/relationships/footnotes" Target="footnotes.xml"/><Relationship Id="rId29" Type="http://schemas.openxmlformats.org/officeDocument/2006/relationships/image" Target="media/image21.wmf"/><Relationship Id="rId28" Type="http://schemas.openxmlformats.org/officeDocument/2006/relationships/image" Target="media/image20.wmf"/><Relationship Id="rId27" Type="http://schemas.openxmlformats.org/officeDocument/2006/relationships/image" Target="media/image19.wmf"/><Relationship Id="rId26" Type="http://schemas.openxmlformats.org/officeDocument/2006/relationships/image" Target="media/image18.wmf"/><Relationship Id="rId25" Type="http://schemas.openxmlformats.org/officeDocument/2006/relationships/image" Target="media/image17.wmf"/><Relationship Id="rId24" Type="http://schemas.openxmlformats.org/officeDocument/2006/relationships/image" Target="media/image16.wmf"/><Relationship Id="rId23" Type="http://schemas.openxmlformats.org/officeDocument/2006/relationships/image" Target="media/image15.wmf"/><Relationship Id="rId22" Type="http://schemas.openxmlformats.org/officeDocument/2006/relationships/image" Target="media/image14.wmf"/><Relationship Id="rId21" Type="http://schemas.openxmlformats.org/officeDocument/2006/relationships/image" Target="media/image13.wmf"/><Relationship Id="rId20" Type="http://schemas.openxmlformats.org/officeDocument/2006/relationships/image" Target="media/image12.wmf"/><Relationship Id="rId2" Type="http://schemas.openxmlformats.org/officeDocument/2006/relationships/settings" Target="settings.xml"/><Relationship Id="rId19" Type="http://schemas.openxmlformats.org/officeDocument/2006/relationships/image" Target="media/image11.wmf"/><Relationship Id="rId18" Type="http://schemas.openxmlformats.org/officeDocument/2006/relationships/image" Target="media/image10.wmf"/><Relationship Id="rId17" Type="http://schemas.openxmlformats.org/officeDocument/2006/relationships/image" Target="media/image9.wmf"/><Relationship Id="rId16" Type="http://schemas.openxmlformats.org/officeDocument/2006/relationships/image" Target="media/image8.wmf"/><Relationship Id="rId152" Type="http://schemas.openxmlformats.org/officeDocument/2006/relationships/fontTable" Target="fontTable.xml"/><Relationship Id="rId151" Type="http://schemas.openxmlformats.org/officeDocument/2006/relationships/customXml" Target="../customXml/item1.xml"/><Relationship Id="rId150" Type="http://schemas.openxmlformats.org/officeDocument/2006/relationships/numbering" Target="numbering.xml"/><Relationship Id="rId15" Type="http://schemas.openxmlformats.org/officeDocument/2006/relationships/image" Target="media/image7.wmf"/><Relationship Id="rId149" Type="http://schemas.openxmlformats.org/officeDocument/2006/relationships/image" Target="media/image141.wmf"/><Relationship Id="rId148" Type="http://schemas.openxmlformats.org/officeDocument/2006/relationships/image" Target="media/image140.wmf"/><Relationship Id="rId147" Type="http://schemas.openxmlformats.org/officeDocument/2006/relationships/image" Target="media/image139.wmf"/><Relationship Id="rId146" Type="http://schemas.openxmlformats.org/officeDocument/2006/relationships/image" Target="media/image138.wmf"/><Relationship Id="rId145" Type="http://schemas.openxmlformats.org/officeDocument/2006/relationships/image" Target="media/image137.wmf"/><Relationship Id="rId144" Type="http://schemas.openxmlformats.org/officeDocument/2006/relationships/image" Target="media/image136.wmf"/><Relationship Id="rId143" Type="http://schemas.openxmlformats.org/officeDocument/2006/relationships/image" Target="media/image135.wmf"/><Relationship Id="rId142" Type="http://schemas.openxmlformats.org/officeDocument/2006/relationships/image" Target="media/image134.wmf"/><Relationship Id="rId141" Type="http://schemas.openxmlformats.org/officeDocument/2006/relationships/image" Target="media/image133.wmf"/><Relationship Id="rId140" Type="http://schemas.openxmlformats.org/officeDocument/2006/relationships/image" Target="media/image132.wmf"/><Relationship Id="rId14" Type="http://schemas.openxmlformats.org/officeDocument/2006/relationships/image" Target="media/image6.wmf"/><Relationship Id="rId139" Type="http://schemas.openxmlformats.org/officeDocument/2006/relationships/image" Target="media/image131.wmf"/><Relationship Id="rId138" Type="http://schemas.openxmlformats.org/officeDocument/2006/relationships/image" Target="media/image130.wmf"/><Relationship Id="rId137" Type="http://schemas.openxmlformats.org/officeDocument/2006/relationships/image" Target="media/image129.wmf"/><Relationship Id="rId136" Type="http://schemas.openxmlformats.org/officeDocument/2006/relationships/image" Target="media/image128.wmf"/><Relationship Id="rId135" Type="http://schemas.openxmlformats.org/officeDocument/2006/relationships/image" Target="media/image127.wmf"/><Relationship Id="rId134" Type="http://schemas.openxmlformats.org/officeDocument/2006/relationships/image" Target="media/image126.wmf"/><Relationship Id="rId133" Type="http://schemas.openxmlformats.org/officeDocument/2006/relationships/image" Target="media/image125.wmf"/><Relationship Id="rId132" Type="http://schemas.openxmlformats.org/officeDocument/2006/relationships/image" Target="media/image124.wmf"/><Relationship Id="rId131" Type="http://schemas.openxmlformats.org/officeDocument/2006/relationships/image" Target="media/image123.wmf"/><Relationship Id="rId130" Type="http://schemas.openxmlformats.org/officeDocument/2006/relationships/image" Target="media/image122.wmf"/><Relationship Id="rId13" Type="http://schemas.openxmlformats.org/officeDocument/2006/relationships/image" Target="media/image5.wmf"/><Relationship Id="rId129" Type="http://schemas.openxmlformats.org/officeDocument/2006/relationships/image" Target="media/image121.wmf"/><Relationship Id="rId128" Type="http://schemas.openxmlformats.org/officeDocument/2006/relationships/image" Target="media/image120.wmf"/><Relationship Id="rId127" Type="http://schemas.openxmlformats.org/officeDocument/2006/relationships/image" Target="media/image119.wmf"/><Relationship Id="rId126" Type="http://schemas.openxmlformats.org/officeDocument/2006/relationships/image" Target="media/image118.wmf"/><Relationship Id="rId125" Type="http://schemas.openxmlformats.org/officeDocument/2006/relationships/image" Target="media/image117.wmf"/><Relationship Id="rId124" Type="http://schemas.openxmlformats.org/officeDocument/2006/relationships/image" Target="media/image116.wmf"/><Relationship Id="rId123" Type="http://schemas.openxmlformats.org/officeDocument/2006/relationships/image" Target="media/image115.wmf"/><Relationship Id="rId122" Type="http://schemas.openxmlformats.org/officeDocument/2006/relationships/image" Target="media/image114.wmf"/><Relationship Id="rId121" Type="http://schemas.openxmlformats.org/officeDocument/2006/relationships/image" Target="media/image113.wmf"/><Relationship Id="rId120" Type="http://schemas.openxmlformats.org/officeDocument/2006/relationships/image" Target="media/image112.wmf"/><Relationship Id="rId12" Type="http://schemas.openxmlformats.org/officeDocument/2006/relationships/image" Target="media/image4.wmf"/><Relationship Id="rId119" Type="http://schemas.openxmlformats.org/officeDocument/2006/relationships/image" Target="media/image111.wmf"/><Relationship Id="rId118" Type="http://schemas.openxmlformats.org/officeDocument/2006/relationships/image" Target="media/image110.wmf"/><Relationship Id="rId117" Type="http://schemas.openxmlformats.org/officeDocument/2006/relationships/image" Target="media/image109.wmf"/><Relationship Id="rId116" Type="http://schemas.openxmlformats.org/officeDocument/2006/relationships/image" Target="media/image108.wmf"/><Relationship Id="rId115" Type="http://schemas.openxmlformats.org/officeDocument/2006/relationships/image" Target="media/image107.wmf"/><Relationship Id="rId114" Type="http://schemas.openxmlformats.org/officeDocument/2006/relationships/image" Target="media/image106.wmf"/><Relationship Id="rId113" Type="http://schemas.openxmlformats.org/officeDocument/2006/relationships/image" Target="media/image105.wmf"/><Relationship Id="rId112" Type="http://schemas.openxmlformats.org/officeDocument/2006/relationships/image" Target="media/image104.wmf"/><Relationship Id="rId111" Type="http://schemas.openxmlformats.org/officeDocument/2006/relationships/image" Target="media/image103.wmf"/><Relationship Id="rId110" Type="http://schemas.openxmlformats.org/officeDocument/2006/relationships/image" Target="media/image102.wmf"/><Relationship Id="rId11" Type="http://schemas.openxmlformats.org/officeDocument/2006/relationships/image" Target="media/image3.wmf"/><Relationship Id="rId109" Type="http://schemas.openxmlformats.org/officeDocument/2006/relationships/image" Target="media/image101.wmf"/><Relationship Id="rId108" Type="http://schemas.openxmlformats.org/officeDocument/2006/relationships/image" Target="media/image100.wmf"/><Relationship Id="rId107" Type="http://schemas.openxmlformats.org/officeDocument/2006/relationships/image" Target="media/image99.wmf"/><Relationship Id="rId106" Type="http://schemas.openxmlformats.org/officeDocument/2006/relationships/image" Target="media/image98.wmf"/><Relationship Id="rId105" Type="http://schemas.openxmlformats.org/officeDocument/2006/relationships/image" Target="media/image97.wmf"/><Relationship Id="rId104" Type="http://schemas.openxmlformats.org/officeDocument/2006/relationships/image" Target="media/image96.wmf"/><Relationship Id="rId103" Type="http://schemas.openxmlformats.org/officeDocument/2006/relationships/image" Target="media/image95.wmf"/><Relationship Id="rId102" Type="http://schemas.openxmlformats.org/officeDocument/2006/relationships/image" Target="media/image94.wmf"/><Relationship Id="rId101" Type="http://schemas.openxmlformats.org/officeDocument/2006/relationships/image" Target="media/image93.wmf"/><Relationship Id="rId100" Type="http://schemas.openxmlformats.org/officeDocument/2006/relationships/image" Target="media/image92.wmf"/><Relationship Id="rId10" Type="http://schemas.openxmlformats.org/officeDocument/2006/relationships/image" Target="media/image2.wmf"/><Relationship Id="rId1" Type="http://schemas.openxmlformats.org/officeDocument/2006/relationships/styles" Target="styles.xml"/></Relationships>
</file>

<file path=word/_rels/numbering.xml.rels><?xml version="1.0" encoding="UTF-8" standalone="yes"?>
<Relationships xmlns="http://schemas.openxmlformats.org/package/2006/relationships"><Relationship Id="rId2" Type="http://schemas.openxmlformats.org/officeDocument/2006/relationships/image" Target="media/image143.wmf"/><Relationship Id="rId1" Type="http://schemas.openxmlformats.org/officeDocument/2006/relationships/image" Target="media/image14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D5BF8B-F8A6-4B9F-BB0A-5040B60482DB}">
  <ds:schemaRefs/>
</ds:datastoreItem>
</file>

<file path=docProps/app.xml><?xml version="1.0" encoding="utf-8"?>
<Properties xmlns="http://schemas.openxmlformats.org/officeDocument/2006/extended-properties" xmlns:vt="http://schemas.openxmlformats.org/officeDocument/2006/docPropsVTypes">
  <Template>Normal</Template>
  <Pages>79</Pages>
  <Words>15449</Words>
  <Characters>88065</Characters>
  <Lines>733</Lines>
  <Paragraphs>206</Paragraphs>
  <TotalTime>8</TotalTime>
  <ScaleCrop>false</ScaleCrop>
  <LinksUpToDate>false</LinksUpToDate>
  <CharactersWithSpaces>103308</CharactersWithSpaces>
  <Application>WPS Office_12.2.0.18607_F1E327BC-269C-435d-A152-05C5408002CA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2024-02-28T13:22:00Z</dcterms:created>
  <dc:creator>Ирина В. Демашова</dc:creator>
  <cp:lastModifiedBy>user</cp:lastModifiedBy>
  <cp:lastPrinted>2024-11-01T11:56:00Z</cp:lastPrinted>
  <dcterms:modified xsi:type="dcterms:W3CDTF">2024-11-02T11:01:26Z</dcterms:modified>
  <cp:revision>223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1049-12.2.0.18607</vt:lpwstr>
  </property>
  <property fmtid="{D5CDD505-2E9C-101B-9397-08002B2CF9AE}" pid="3" name="ICV">
    <vt:lpwstr>655A6DBB745B4F23A7A4D4BFE0C2B6A9_13</vt:lpwstr>
  </property>
</Properties>
</file>